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A4F6F" w14:textId="77777777" w:rsidR="00D853E9" w:rsidRDefault="003C5297" w:rsidP="00A33C19">
      <w:pPr>
        <w:rPr>
          <w:rFonts w:cs="Arial"/>
          <w:b/>
          <w:noProof/>
        </w:rPr>
      </w:pPr>
      <w:bookmarkStart w:id="0" w:name="_GoBack"/>
      <w:bookmarkEnd w:id="0"/>
    </w:p>
    <w:p w14:paraId="426630A9" w14:textId="77777777" w:rsidR="00D853E9" w:rsidRPr="001950A9" w:rsidRDefault="0046125B" w:rsidP="00A33C19">
      <w:pPr>
        <w:rPr>
          <w:rFonts w:cs="Arial"/>
          <w:b/>
          <w:noProof/>
        </w:rPr>
      </w:pPr>
      <w:r w:rsidRPr="001950A9">
        <w:rPr>
          <w:rFonts w:cs="Arial"/>
          <w:b/>
          <w:noProof/>
        </w:rPr>
        <w:t>133411 SOUTHEASTERN CA CONF SEVENTH-DAY ADVEN</w:t>
      </w:r>
    </w:p>
    <w:p w14:paraId="6565AD57" w14:textId="77777777" w:rsidR="00D853E9" w:rsidRPr="00707C25" w:rsidRDefault="003C5297" w:rsidP="00A33C19">
      <w:pPr>
        <w:rPr>
          <w:rFonts w:cs="Arial"/>
          <w:b/>
          <w:noProof/>
          <w:sz w:val="14"/>
        </w:rPr>
      </w:pPr>
    </w:p>
    <w:p w14:paraId="08B7DCAB" w14:textId="77777777" w:rsidR="00D853E9" w:rsidRPr="00707C25" w:rsidRDefault="0046125B" w:rsidP="00A33C19">
      <w:pPr>
        <w:keepNext/>
        <w:rPr>
          <w:rFonts w:cs="Arial"/>
          <w:b/>
          <w:noProof/>
          <w:sz w:val="26"/>
        </w:rPr>
      </w:pPr>
      <w:r w:rsidRPr="00707C25">
        <w:rPr>
          <w:rFonts w:cs="Arial"/>
          <w:b/>
          <w:noProof/>
          <w:sz w:val="26"/>
        </w:rPr>
        <w:t xml:space="preserve">Principal Benefits for </w:t>
      </w:r>
      <w:r>
        <w:rPr>
          <w:rFonts w:cs="Arial"/>
          <w:b/>
          <w:noProof/>
          <w:sz w:val="26"/>
        </w:rPr>
        <w:br/>
      </w:r>
      <w:r w:rsidRPr="00707C25">
        <w:rPr>
          <w:rFonts w:cs="Arial"/>
          <w:b/>
          <w:noProof/>
          <w:sz w:val="26"/>
        </w:rPr>
        <w:t>Kaiser Permanente Traditional HMO Plan (1/1/20—12/31/20)</w:t>
      </w:r>
    </w:p>
    <w:p w14:paraId="10993B7B" w14:textId="77777777" w:rsidR="00D853E9" w:rsidRPr="0037056F" w:rsidRDefault="003C5297" w:rsidP="00B81DDE">
      <w:pPr>
        <w:rPr>
          <w:rFonts w:cs="Arial"/>
          <w:noProof/>
          <w:sz w:val="6"/>
          <w:szCs w:val="6"/>
        </w:rPr>
      </w:pPr>
    </w:p>
    <w:p w14:paraId="618B895D" w14:textId="77777777" w:rsidR="00D853E9" w:rsidRPr="00FC04B2" w:rsidRDefault="0046125B" w:rsidP="00A33C19">
      <w:pPr>
        <w:rPr>
          <w:noProof/>
        </w:rPr>
      </w:pPr>
      <w:r w:rsidRPr="00FC04B2">
        <w:rPr>
          <w:noProof/>
        </w:rPr>
        <w:t xml:space="preserve">Health Plan believes this coverage is a </w:t>
      </w:r>
      <w:r>
        <w:rPr>
          <w:noProof/>
        </w:rPr>
        <w:t>"</w:t>
      </w:r>
      <w:r w:rsidRPr="00FC04B2">
        <w:rPr>
          <w:noProof/>
        </w:rPr>
        <w:t>grandfathered health plan</w:t>
      </w:r>
      <w:r>
        <w:rPr>
          <w:noProof/>
        </w:rPr>
        <w:t>"</w:t>
      </w:r>
      <w:r w:rsidRPr="00FC04B2">
        <w:rPr>
          <w:noProof/>
        </w:rPr>
        <w:t xml:space="preserve"> under the Patient Protection and Affordable Care Act.</w:t>
      </w:r>
      <w:r>
        <w:rPr>
          <w:noProof/>
        </w:rPr>
        <w:t xml:space="preserve"> If </w:t>
      </w:r>
      <w:r w:rsidRPr="00FC04B2">
        <w:rPr>
          <w:noProof/>
        </w:rPr>
        <w:t xml:space="preserve">you have questions about grandfathered health plans, please call our Member Service </w:t>
      </w:r>
      <w:r>
        <w:rPr>
          <w:noProof/>
        </w:rPr>
        <w:t>Contact</w:t>
      </w:r>
      <w:r w:rsidRPr="00FC04B2">
        <w:rPr>
          <w:noProof/>
        </w:rPr>
        <w:t xml:space="preserve"> Center.</w:t>
      </w: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10914"/>
      </w:tblGrid>
      <w:tr w:rsidR="00D853E9" w:rsidRPr="007F5629" w14:paraId="4490C670" w14:textId="77777777" w:rsidTr="00DA6F48">
        <w:trPr>
          <w:cantSplit/>
          <w:tblHeader/>
        </w:trPr>
        <w:tc>
          <w:tcPr>
            <w:tcW w:w="10914" w:type="dxa"/>
            <w:shd w:val="clear" w:color="auto" w:fill="auto"/>
            <w:tcMar>
              <w:right w:w="20" w:type="dxa"/>
            </w:tcMar>
          </w:tcPr>
          <w:p w14:paraId="4121B104" w14:textId="77777777" w:rsidR="00D853E9" w:rsidRPr="00D07962" w:rsidRDefault="0046125B" w:rsidP="0055053A">
            <w:pPr>
              <w:keepNext/>
              <w:pBdr>
                <w:bottom w:val="single" w:sz="8" w:space="1" w:color="auto"/>
              </w:pBdr>
              <w:rPr>
                <w:rFonts w:cs="Arial"/>
                <w:noProof/>
              </w:rPr>
            </w:pPr>
            <w:r w:rsidRPr="00E10658">
              <w:rPr>
                <w:rFonts w:cs="Arial"/>
                <w:b/>
                <w:noProof/>
              </w:rPr>
              <w:t>Accumulation Period</w:t>
            </w:r>
          </w:p>
        </w:tc>
      </w:tr>
      <w:tr w:rsidR="00D853E9" w:rsidRPr="007F5629" w14:paraId="4AF5D1CB" w14:textId="77777777" w:rsidTr="00DA6F48">
        <w:trPr>
          <w:cantSplit/>
        </w:trPr>
        <w:tc>
          <w:tcPr>
            <w:tcW w:w="10914" w:type="dxa"/>
            <w:shd w:val="clear" w:color="auto" w:fill="auto"/>
          </w:tcPr>
          <w:p w14:paraId="01198451" w14:textId="77777777" w:rsidR="00D853E9" w:rsidRPr="00D07962" w:rsidRDefault="0046125B" w:rsidP="004160CF">
            <w:pPr>
              <w:ind w:left="80" w:hanging="80"/>
              <w:rPr>
                <w:rFonts w:cs="Arial"/>
                <w:noProof/>
              </w:rPr>
            </w:pPr>
            <w:r w:rsidRPr="007879B1">
              <w:t xml:space="preserve">The </w:t>
            </w:r>
            <w:r>
              <w:t xml:space="preserve">Accumulation Period </w:t>
            </w:r>
            <w:r w:rsidRPr="007879B1">
              <w:t xml:space="preserve">for this plan </w:t>
            </w:r>
            <w:r>
              <w:t>is</w:t>
            </w:r>
            <w:r w:rsidRPr="007879B1">
              <w:t xml:space="preserve"> </w:t>
            </w:r>
            <w:r>
              <w:t>January 1 through December 31.</w:t>
            </w:r>
          </w:p>
        </w:tc>
      </w:tr>
    </w:tbl>
    <w:p w14:paraId="537E45B1" w14:textId="77777777" w:rsidR="00D853E9" w:rsidRPr="0037056F" w:rsidRDefault="003C5297" w:rsidP="00A33C19">
      <w:pPr>
        <w:rPr>
          <w:rFonts w:cs="Arial"/>
          <w:noProof/>
          <w:sz w:val="6"/>
          <w:szCs w:val="6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10914"/>
      </w:tblGrid>
      <w:tr w:rsidR="00D853E9" w:rsidRPr="007F5629" w14:paraId="150848FC" w14:textId="77777777" w:rsidTr="00DA6F48">
        <w:trPr>
          <w:cantSplit/>
          <w:tblHeader/>
        </w:trPr>
        <w:tc>
          <w:tcPr>
            <w:tcW w:w="10914" w:type="dxa"/>
            <w:shd w:val="clear" w:color="auto" w:fill="auto"/>
            <w:tcMar>
              <w:right w:w="20" w:type="dxa"/>
            </w:tcMar>
          </w:tcPr>
          <w:p w14:paraId="2E4480A7" w14:textId="77777777" w:rsidR="00D853E9" w:rsidRPr="00D07962" w:rsidRDefault="0046125B" w:rsidP="0055053A">
            <w:pPr>
              <w:keepNext/>
              <w:pBdr>
                <w:bottom w:val="single" w:sz="8" w:space="1" w:color="auto"/>
              </w:pBdr>
              <w:rPr>
                <w:rFonts w:cs="Arial"/>
                <w:noProof/>
              </w:rPr>
            </w:pPr>
            <w:r>
              <w:rPr>
                <w:rFonts w:cs="Arial"/>
                <w:b/>
                <w:noProof/>
              </w:rPr>
              <w:t>Out-of-Pocket Maximum(s) and Deductible(s)</w:t>
            </w:r>
          </w:p>
        </w:tc>
      </w:tr>
    </w:tbl>
    <w:p w14:paraId="79E49581" w14:textId="77777777" w:rsidR="00D853E9" w:rsidRPr="00D07962" w:rsidRDefault="0046125B" w:rsidP="00A33C19">
      <w:pPr>
        <w:ind w:left="80" w:hanging="80"/>
        <w:rPr>
          <w:rFonts w:cs="Arial"/>
          <w:noProof/>
        </w:rPr>
      </w:pPr>
      <w:r w:rsidRPr="00AB7E7E">
        <w:rPr>
          <w:rFonts w:cs="Arial"/>
          <w:noProof/>
        </w:rPr>
        <w:t>For Services that apply to the Plan Out-of-Pocket Maximum, you will not pay any more Cost Share for the rest of the Accumulation Period once you have reached the amounts listed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3441"/>
        <w:gridCol w:w="2491"/>
        <w:gridCol w:w="2491"/>
        <w:gridCol w:w="2491"/>
      </w:tblGrid>
      <w:tr w:rsidR="00D853E9" w:rsidRPr="00CE77EF" w14:paraId="65149707" w14:textId="77777777" w:rsidTr="00DA6F48">
        <w:trPr>
          <w:cantSplit/>
          <w:tblHeader/>
        </w:trPr>
        <w:tc>
          <w:tcPr>
            <w:tcW w:w="3441" w:type="dxa"/>
            <w:shd w:val="clear" w:color="auto" w:fill="auto"/>
            <w:vAlign w:val="center"/>
          </w:tcPr>
          <w:p w14:paraId="51486B46" w14:textId="77777777" w:rsidR="00D853E9" w:rsidRPr="00AB7E7E" w:rsidRDefault="0046125B" w:rsidP="00281D0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Amounts Per Accumulation Period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2484E8B" w14:textId="77777777" w:rsidR="00D853E9" w:rsidRPr="00AB7E7E" w:rsidRDefault="0046125B" w:rsidP="00281D08">
            <w:pPr>
              <w:keepNext/>
              <w:jc w:val="center"/>
            </w:pPr>
            <w:r w:rsidRPr="00263265">
              <w:rPr>
                <w:b/>
              </w:rPr>
              <w:t>Self-Only Coverage</w:t>
            </w:r>
          </w:p>
          <w:p w14:paraId="0AFA1CD7" w14:textId="77777777" w:rsidR="00D853E9" w:rsidRPr="006C0BC5" w:rsidRDefault="0046125B" w:rsidP="00281D08">
            <w:pPr>
              <w:keepNext/>
              <w:jc w:val="center"/>
              <w:rPr>
                <w:b/>
              </w:rPr>
            </w:pPr>
            <w:r w:rsidRPr="00263265">
              <w:t>(</w:t>
            </w:r>
            <w:r>
              <w:t xml:space="preserve">a </w:t>
            </w:r>
            <w:r w:rsidRPr="00263265">
              <w:t>Family of one Member)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8311EA0" w14:textId="77777777" w:rsidR="00D853E9" w:rsidRDefault="0046125B" w:rsidP="00281D08">
            <w:pPr>
              <w:keepNext/>
              <w:jc w:val="center"/>
            </w:pPr>
            <w:r w:rsidRPr="00263265">
              <w:rPr>
                <w:b/>
              </w:rPr>
              <w:t>Family Coverage</w:t>
            </w:r>
          </w:p>
          <w:p w14:paraId="4F70B4A5" w14:textId="77777777" w:rsidR="00D853E9" w:rsidRPr="006C0BC5" w:rsidRDefault="0046125B" w:rsidP="00281D08">
            <w:pPr>
              <w:keepNext/>
              <w:jc w:val="center"/>
              <w:rPr>
                <w:b/>
              </w:rPr>
            </w:pPr>
            <w:r w:rsidRPr="00263265">
              <w:t>Each Member in a Family</w:t>
            </w:r>
            <w:r>
              <w:t xml:space="preserve"> of two or more Members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1CEF396" w14:textId="77777777" w:rsidR="00D853E9" w:rsidRDefault="0046125B" w:rsidP="00281D08">
            <w:pPr>
              <w:keepNext/>
              <w:jc w:val="center"/>
            </w:pPr>
            <w:r w:rsidRPr="00263265">
              <w:rPr>
                <w:b/>
              </w:rPr>
              <w:t>Family Coverage</w:t>
            </w:r>
          </w:p>
          <w:p w14:paraId="6B638C91" w14:textId="77777777" w:rsidR="00D853E9" w:rsidRPr="006C0BC5" w:rsidRDefault="0046125B" w:rsidP="00281D08">
            <w:pPr>
              <w:keepNext/>
              <w:jc w:val="center"/>
              <w:rPr>
                <w:b/>
              </w:rPr>
            </w:pPr>
            <w:r>
              <w:t>Entire</w:t>
            </w:r>
            <w:r w:rsidRPr="00263265">
              <w:t xml:space="preserve"> Family</w:t>
            </w:r>
            <w:r>
              <w:t xml:space="preserve"> of two or more Members</w:t>
            </w:r>
          </w:p>
        </w:tc>
      </w:tr>
      <w:tr w:rsidR="00D853E9" w:rsidRPr="00CE77EF" w14:paraId="55943C7C" w14:textId="77777777" w:rsidTr="00DA6F48">
        <w:trPr>
          <w:cantSplit/>
        </w:trPr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2C73A" w14:textId="77777777" w:rsidR="00D853E9" w:rsidRPr="00263265" w:rsidRDefault="0046125B" w:rsidP="00281D08">
            <w:r w:rsidRPr="00263265">
              <w:t>Plan Out-of-Pocket Maximum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1D430" w14:textId="77777777" w:rsidR="00D853E9" w:rsidRPr="00263265" w:rsidRDefault="0046125B" w:rsidP="00281D08">
            <w:pPr>
              <w:jc w:val="center"/>
            </w:pPr>
            <w:r w:rsidRPr="004F5953">
              <w:rPr>
                <w:rFonts w:cs="Arial"/>
              </w:rPr>
              <w:t>$1,500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6004B" w14:textId="77777777" w:rsidR="00D853E9" w:rsidRPr="00263265" w:rsidRDefault="0046125B" w:rsidP="00281D08">
            <w:pPr>
              <w:jc w:val="center"/>
            </w:pPr>
            <w:r w:rsidRPr="004F5953">
              <w:rPr>
                <w:rFonts w:cs="Arial"/>
              </w:rPr>
              <w:t>$1,500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60254" w14:textId="77777777" w:rsidR="00D853E9" w:rsidRPr="00263265" w:rsidRDefault="0046125B" w:rsidP="00281D08">
            <w:pPr>
              <w:jc w:val="center"/>
            </w:pPr>
            <w:r w:rsidRPr="004F5953">
              <w:rPr>
                <w:rFonts w:cs="Arial"/>
              </w:rPr>
              <w:t>$3,000</w:t>
            </w:r>
          </w:p>
        </w:tc>
      </w:tr>
      <w:tr w:rsidR="00D853E9" w:rsidRPr="00CE77EF" w14:paraId="3C273E9C" w14:textId="77777777" w:rsidTr="00DA6F48">
        <w:trPr>
          <w:cantSplit/>
        </w:trPr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1576F" w14:textId="77777777" w:rsidR="00D853E9" w:rsidRPr="00263265" w:rsidRDefault="0046125B" w:rsidP="00281D08">
            <w:r w:rsidRPr="00263265">
              <w:t>Plan Deductible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416DE" w14:textId="77777777" w:rsidR="00D853E9" w:rsidRPr="00263265" w:rsidRDefault="0046125B" w:rsidP="00281D08">
            <w:pPr>
              <w:jc w:val="center"/>
            </w:pPr>
            <w:r>
              <w:rPr>
                <w:rFonts w:cs="Arial"/>
              </w:rPr>
              <w:t>None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DF873" w14:textId="77777777" w:rsidR="00D853E9" w:rsidRDefault="0046125B" w:rsidP="00281D08">
            <w:pPr>
              <w:jc w:val="center"/>
            </w:pPr>
            <w:r>
              <w:rPr>
                <w:rFonts w:cs="Arial"/>
              </w:rPr>
              <w:t>None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11749" w14:textId="77777777" w:rsidR="00D853E9" w:rsidRPr="00263265" w:rsidRDefault="0046125B" w:rsidP="00281D08">
            <w:pPr>
              <w:jc w:val="center"/>
            </w:pPr>
            <w:r w:rsidRPr="00263265">
              <w:t>None</w:t>
            </w:r>
          </w:p>
        </w:tc>
      </w:tr>
      <w:tr w:rsidR="00D853E9" w:rsidRPr="00CE77EF" w14:paraId="5C2F2EA5" w14:textId="77777777" w:rsidTr="00DA6F48">
        <w:trPr>
          <w:cantSplit/>
        </w:trPr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9C083" w14:textId="77777777" w:rsidR="00D853E9" w:rsidRPr="00263265" w:rsidRDefault="0046125B" w:rsidP="00281D08">
            <w:r w:rsidRPr="00263265">
              <w:t>Drug Deductible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B3343" w14:textId="77777777" w:rsidR="00D853E9" w:rsidRPr="00263265" w:rsidRDefault="0046125B" w:rsidP="00281D08">
            <w:pPr>
              <w:jc w:val="center"/>
            </w:pPr>
            <w:r>
              <w:rPr>
                <w:rFonts w:cs="Arial"/>
              </w:rPr>
              <w:t>None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A6ABC" w14:textId="77777777" w:rsidR="00D853E9" w:rsidRDefault="0046125B" w:rsidP="00281D08">
            <w:pPr>
              <w:jc w:val="center"/>
            </w:pPr>
            <w:r>
              <w:rPr>
                <w:rFonts w:cs="Arial"/>
              </w:rPr>
              <w:t>None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D5629" w14:textId="77777777" w:rsidR="00D853E9" w:rsidRPr="00263265" w:rsidRDefault="0046125B" w:rsidP="00281D08">
            <w:pPr>
              <w:jc w:val="center"/>
            </w:pPr>
            <w:r w:rsidRPr="00263265">
              <w:t>None</w:t>
            </w:r>
          </w:p>
        </w:tc>
      </w:tr>
    </w:tbl>
    <w:p w14:paraId="191D6249" w14:textId="77777777" w:rsidR="00D853E9" w:rsidRPr="008629FB" w:rsidRDefault="003C5297" w:rsidP="00A33C19">
      <w:pPr>
        <w:rPr>
          <w:rFonts w:cs="Arial"/>
          <w:noProof/>
          <w:sz w:val="6"/>
          <w:szCs w:val="6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D853E9" w:rsidRPr="007F5629" w14:paraId="1BB65ED0" w14:textId="77777777" w:rsidTr="00DA6F48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1750450B" w14:textId="77777777" w:rsidR="00D853E9" w:rsidRPr="00D07962" w:rsidRDefault="0046125B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noProof/>
              </w:rPr>
            </w:pPr>
            <w:r w:rsidRPr="00D07962">
              <w:rPr>
                <w:rFonts w:cs="Arial"/>
                <w:b/>
                <w:noProof/>
              </w:rPr>
              <w:t>Professional Services (Plan Provider office visits)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7D756526" w14:textId="77777777" w:rsidR="00D853E9" w:rsidRPr="00D07962" w:rsidRDefault="0046125B" w:rsidP="0055053A">
            <w:pPr>
              <w:keepNext/>
              <w:pBdr>
                <w:bottom w:val="single" w:sz="8" w:space="1" w:color="auto"/>
              </w:pBdr>
              <w:rPr>
                <w:rFonts w:cs="Arial"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E71846" w:rsidRPr="00CB55FF" w14:paraId="4651992D" w14:textId="77777777" w:rsidTr="00941060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3E601CB7" w14:textId="77777777" w:rsidR="00E71846" w:rsidRPr="008655F5" w:rsidRDefault="0046125B" w:rsidP="004E50C6">
            <w:pPr>
              <w:tabs>
                <w:tab w:val="left" w:leader="dot" w:pos="6617"/>
              </w:tabs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Most Primary Care Visits and most Non-Physician Specialist Visits</w:t>
            </w:r>
            <w:r w:rsidRPr="008655F5">
              <w:rPr>
                <w:rFonts w:cs="Arial"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083A7971" w14:textId="77777777" w:rsidR="00E71846" w:rsidRPr="008655F5" w:rsidRDefault="0046125B" w:rsidP="00676A57">
            <w:pPr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$20 per visit</w:t>
            </w:r>
          </w:p>
        </w:tc>
      </w:tr>
      <w:tr w:rsidR="00E71846" w:rsidRPr="00CB55FF" w14:paraId="74FA8DB2" w14:textId="77777777" w:rsidTr="00941060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436E24DF" w14:textId="77777777" w:rsidR="00E71846" w:rsidRPr="008655F5" w:rsidRDefault="0046125B" w:rsidP="004E50C6">
            <w:pPr>
              <w:tabs>
                <w:tab w:val="left" w:leader="dot" w:pos="6617"/>
              </w:tabs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Most Physician Specialist Visits</w:t>
            </w:r>
            <w:r w:rsidRPr="008655F5">
              <w:rPr>
                <w:rFonts w:cs="Arial"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73894A76" w14:textId="77777777" w:rsidR="00E71846" w:rsidRPr="008655F5" w:rsidRDefault="0046125B" w:rsidP="00676A57">
            <w:pPr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$20 per visit</w:t>
            </w:r>
          </w:p>
        </w:tc>
      </w:tr>
      <w:tr w:rsidR="00E71846" w:rsidRPr="00CB55FF" w14:paraId="1263BB7B" w14:textId="77777777" w:rsidTr="00941060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4B1AD72E" w14:textId="77777777" w:rsidR="00E71846" w:rsidRPr="008655F5" w:rsidRDefault="0046125B" w:rsidP="004E50C6">
            <w:pPr>
              <w:tabs>
                <w:tab w:val="left" w:leader="dot" w:pos="6617"/>
              </w:tabs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Routine physical maintenance exams, including well-woman exams</w:t>
            </w:r>
            <w:r w:rsidRPr="008655F5">
              <w:rPr>
                <w:rFonts w:cs="Arial"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5FBDE0BE" w14:textId="77777777" w:rsidR="00E71846" w:rsidRPr="008655F5" w:rsidRDefault="0046125B" w:rsidP="00676A57">
            <w:pPr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No charge</w:t>
            </w:r>
          </w:p>
        </w:tc>
      </w:tr>
      <w:tr w:rsidR="00E71846" w:rsidRPr="00CB55FF" w14:paraId="594B693C" w14:textId="77777777" w:rsidTr="00941060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171C2B16" w14:textId="77777777" w:rsidR="00E71846" w:rsidRPr="008655F5" w:rsidRDefault="0046125B" w:rsidP="004E50C6">
            <w:pPr>
              <w:tabs>
                <w:tab w:val="left" w:leader="dot" w:pos="6617"/>
              </w:tabs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Well-child preventive exams (through age 23 months)</w:t>
            </w:r>
            <w:r w:rsidRPr="008655F5">
              <w:rPr>
                <w:rFonts w:cs="Arial"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2EADB6D2" w14:textId="77777777" w:rsidR="00E71846" w:rsidRPr="008655F5" w:rsidRDefault="0046125B" w:rsidP="00676A57">
            <w:pPr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No charge</w:t>
            </w:r>
          </w:p>
        </w:tc>
      </w:tr>
      <w:tr w:rsidR="00E71846" w:rsidRPr="00CB55FF" w14:paraId="4C066197" w14:textId="77777777" w:rsidTr="00941060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3D10FF8F" w14:textId="77777777" w:rsidR="00E71846" w:rsidRPr="008655F5" w:rsidRDefault="0046125B" w:rsidP="004E50C6">
            <w:pPr>
              <w:tabs>
                <w:tab w:val="left" w:leader="dot" w:pos="6617"/>
              </w:tabs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Family planning counseling and consultations</w:t>
            </w:r>
            <w:r w:rsidRPr="008655F5">
              <w:rPr>
                <w:rFonts w:cs="Arial"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5028E5D8" w14:textId="77777777" w:rsidR="00E71846" w:rsidRPr="008655F5" w:rsidRDefault="0046125B" w:rsidP="00676A57">
            <w:pPr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No charge</w:t>
            </w:r>
          </w:p>
        </w:tc>
      </w:tr>
      <w:tr w:rsidR="00E71846" w:rsidRPr="00CB55FF" w14:paraId="00FBBD43" w14:textId="77777777" w:rsidTr="00941060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2BDABAB1" w14:textId="77777777" w:rsidR="00E71846" w:rsidRPr="008655F5" w:rsidRDefault="0046125B" w:rsidP="004E50C6">
            <w:pPr>
              <w:tabs>
                <w:tab w:val="left" w:leader="dot" w:pos="6617"/>
              </w:tabs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Scheduled prenatal care exams</w:t>
            </w:r>
            <w:r w:rsidRPr="008655F5">
              <w:rPr>
                <w:rFonts w:cs="Arial"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0138F42B" w14:textId="77777777" w:rsidR="00E71846" w:rsidRPr="008655F5" w:rsidRDefault="0046125B" w:rsidP="00676A57">
            <w:pPr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No charge</w:t>
            </w:r>
          </w:p>
        </w:tc>
      </w:tr>
      <w:tr w:rsidR="00E71846" w:rsidRPr="00CB55FF" w14:paraId="746E563B" w14:textId="77777777" w:rsidTr="00941060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54986A30" w14:textId="77777777" w:rsidR="00E71846" w:rsidRPr="008655F5" w:rsidRDefault="0046125B" w:rsidP="004E50C6">
            <w:pPr>
              <w:tabs>
                <w:tab w:val="left" w:leader="dot" w:pos="6617"/>
              </w:tabs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Routine eye exams with a Plan Optometrist</w:t>
            </w:r>
            <w:r w:rsidRPr="008655F5">
              <w:rPr>
                <w:rFonts w:cs="Arial"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762E9746" w14:textId="77777777" w:rsidR="00E71846" w:rsidRPr="008655F5" w:rsidRDefault="0046125B" w:rsidP="00676A57">
            <w:pPr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No charge</w:t>
            </w:r>
          </w:p>
        </w:tc>
      </w:tr>
      <w:tr w:rsidR="00D853E9" w:rsidRPr="007F5629" w14:paraId="7BD8CA09" w14:textId="77777777" w:rsidTr="00DA6F48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47EF14BD" w14:textId="77777777" w:rsidR="00D853E9" w:rsidRPr="00D07962" w:rsidRDefault="0046125B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 xml:space="preserve">Urgent </w:t>
            </w:r>
            <w:r>
              <w:rPr>
                <w:rFonts w:cs="Arial"/>
                <w:noProof/>
              </w:rPr>
              <w:t>care consultations, evaluations,</w:t>
            </w:r>
            <w:r w:rsidRPr="00D07962">
              <w:rPr>
                <w:rFonts w:cs="Arial"/>
                <w:noProof/>
              </w:rPr>
              <w:t xml:space="preserve"> and treatment</w:t>
            </w:r>
            <w:r w:rsidRPr="00D07962"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39FB6184" w14:textId="77777777" w:rsidR="00D853E9" w:rsidRPr="00D07962" w:rsidRDefault="0046125B" w:rsidP="00281D08">
            <w:pPr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>$20 per visit</w:t>
            </w:r>
          </w:p>
        </w:tc>
      </w:tr>
      <w:tr w:rsidR="00E71846" w:rsidRPr="00CB55FF" w14:paraId="43394545" w14:textId="77777777" w:rsidTr="00941060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46CBA73E" w14:textId="77777777" w:rsidR="00E71846" w:rsidRPr="008655F5" w:rsidRDefault="0046125B" w:rsidP="004E50C6">
            <w:pPr>
              <w:tabs>
                <w:tab w:val="left" w:leader="dot" w:pos="6617"/>
              </w:tabs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Most physical, occupational, and speech therapy</w:t>
            </w:r>
            <w:r w:rsidRPr="008655F5">
              <w:rPr>
                <w:rFonts w:cs="Arial"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0DDBC5A0" w14:textId="77777777" w:rsidR="00E71846" w:rsidRPr="008655F5" w:rsidRDefault="0046125B" w:rsidP="00676A57">
            <w:pPr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$20 per visit</w:t>
            </w:r>
          </w:p>
        </w:tc>
      </w:tr>
    </w:tbl>
    <w:p w14:paraId="0723401C" w14:textId="77777777" w:rsidR="00D853E9" w:rsidRPr="0037056F" w:rsidRDefault="003C5297" w:rsidP="00A33C19">
      <w:pPr>
        <w:rPr>
          <w:rFonts w:cs="Arial"/>
          <w:noProof/>
          <w:sz w:val="6"/>
          <w:szCs w:val="6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D853E9" w:rsidRPr="007F5629" w14:paraId="686B4056" w14:textId="77777777" w:rsidTr="00DA6F48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6E5F360E" w14:textId="77777777" w:rsidR="00D853E9" w:rsidRPr="00E05242" w:rsidRDefault="0046125B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E05242">
              <w:rPr>
                <w:rFonts w:cs="Arial"/>
                <w:b/>
                <w:noProof/>
              </w:rPr>
              <w:t>Outpatient Services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55A9A6A7" w14:textId="77777777" w:rsidR="00D853E9" w:rsidRPr="00E05242" w:rsidRDefault="0046125B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E05242">
              <w:rPr>
                <w:rFonts w:cs="Arial"/>
                <w:b/>
                <w:noProof/>
              </w:rPr>
              <w:t>You Pay</w:t>
            </w:r>
          </w:p>
        </w:tc>
      </w:tr>
      <w:tr w:rsidR="00E71846" w:rsidRPr="00CB55FF" w14:paraId="1AB3447A" w14:textId="77777777" w:rsidTr="00941060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590241E" w14:textId="77777777" w:rsidR="00E71846" w:rsidRPr="008655F5" w:rsidRDefault="0046125B" w:rsidP="004E50C6">
            <w:pPr>
              <w:tabs>
                <w:tab w:val="left" w:leader="dot" w:pos="6617"/>
              </w:tabs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Outpatient surgery and certain other outpatient procedures</w:t>
            </w:r>
            <w:r w:rsidRPr="008655F5">
              <w:rPr>
                <w:rFonts w:cs="Arial"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35C67CEC" w14:textId="77777777" w:rsidR="00E71846" w:rsidRPr="008655F5" w:rsidRDefault="0046125B" w:rsidP="00676A57">
            <w:pPr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$20 per procedure</w:t>
            </w:r>
          </w:p>
        </w:tc>
      </w:tr>
      <w:tr w:rsidR="00E71846" w:rsidRPr="00CB55FF" w14:paraId="263527E8" w14:textId="77777777" w:rsidTr="00941060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6A56AE85" w14:textId="77777777" w:rsidR="00E71846" w:rsidRPr="008655F5" w:rsidRDefault="0046125B" w:rsidP="004E50C6">
            <w:pPr>
              <w:tabs>
                <w:tab w:val="left" w:leader="dot" w:pos="6617"/>
              </w:tabs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Allergy injections (including allergy serum)</w:t>
            </w:r>
            <w:r w:rsidRPr="008655F5">
              <w:rPr>
                <w:rFonts w:cs="Arial"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1A7218FB" w14:textId="77777777" w:rsidR="00E71846" w:rsidRPr="008655F5" w:rsidRDefault="0046125B" w:rsidP="00676A57">
            <w:pPr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No charge</w:t>
            </w:r>
          </w:p>
        </w:tc>
      </w:tr>
      <w:tr w:rsidR="00D853E9" w:rsidRPr="007F5629" w14:paraId="72941374" w14:textId="77777777" w:rsidTr="00DA6F48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6048B723" w14:textId="77777777" w:rsidR="00D853E9" w:rsidRPr="00D07962" w:rsidRDefault="0046125B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>Most immunizations (including the vaccine)</w:t>
            </w:r>
            <w:r w:rsidRPr="00D07962"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60A69AF8" w14:textId="77777777" w:rsidR="00D853E9" w:rsidRPr="00D07962" w:rsidRDefault="0046125B" w:rsidP="00281D08">
            <w:pPr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>No charge</w:t>
            </w:r>
          </w:p>
        </w:tc>
      </w:tr>
      <w:tr w:rsidR="00D853E9" w:rsidRPr="007F5629" w14:paraId="26A43129" w14:textId="77777777" w:rsidTr="00DA6F48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35BB308B" w14:textId="77777777" w:rsidR="00D853E9" w:rsidRPr="00D07962" w:rsidRDefault="0046125B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>Most X-rays and laboratory tests</w:t>
            </w:r>
            <w:r w:rsidRPr="00D07962"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69421172" w14:textId="77777777" w:rsidR="00D853E9" w:rsidRPr="00D07962" w:rsidRDefault="0046125B" w:rsidP="00281D08">
            <w:pPr>
              <w:ind w:left="101" w:hanging="101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</w:tbl>
    <w:p w14:paraId="03FEB735" w14:textId="77777777" w:rsidR="00D853E9" w:rsidRPr="0037056F" w:rsidRDefault="003C5297" w:rsidP="00A33C19">
      <w:pPr>
        <w:rPr>
          <w:rFonts w:cs="Arial"/>
          <w:noProof/>
          <w:sz w:val="6"/>
          <w:szCs w:val="6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D853E9" w:rsidRPr="007F5629" w14:paraId="2D983EB7" w14:textId="77777777" w:rsidTr="00DA6F48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5DC72067" w14:textId="77777777" w:rsidR="00D853E9" w:rsidRPr="00D07962" w:rsidRDefault="0046125B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Hospitalization Services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3B32F971" w14:textId="77777777" w:rsidR="00D853E9" w:rsidRPr="00D07962" w:rsidRDefault="0046125B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E71846" w:rsidRPr="00CB55FF" w14:paraId="01B4034A" w14:textId="77777777" w:rsidTr="00941060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44AAC414" w14:textId="77777777" w:rsidR="00E71846" w:rsidRPr="008655F5" w:rsidRDefault="0046125B" w:rsidP="004E50C6">
            <w:pPr>
              <w:tabs>
                <w:tab w:val="left" w:leader="dot" w:pos="6617"/>
              </w:tabs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Room and board, surgery, anesthesia, X-rays, laboratory tests, and drugs</w:t>
            </w:r>
            <w:r w:rsidRPr="008655F5">
              <w:rPr>
                <w:rFonts w:cs="Arial"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663105AF" w14:textId="77777777" w:rsidR="00E71846" w:rsidRPr="008655F5" w:rsidRDefault="0046125B" w:rsidP="00676A57">
            <w:pPr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$250 per admission</w:t>
            </w:r>
          </w:p>
        </w:tc>
      </w:tr>
    </w:tbl>
    <w:p w14:paraId="71EED2E5" w14:textId="77777777" w:rsidR="00D853E9" w:rsidRPr="0037056F" w:rsidRDefault="003C5297" w:rsidP="00A33C19">
      <w:pPr>
        <w:rPr>
          <w:rFonts w:cs="Arial"/>
          <w:noProof/>
          <w:sz w:val="6"/>
          <w:szCs w:val="6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D853E9" w:rsidRPr="007F5629" w14:paraId="45A583A3" w14:textId="77777777" w:rsidTr="00DA6F48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21D910E" w14:textId="77777777" w:rsidR="00D853E9" w:rsidRPr="00D07962" w:rsidRDefault="0046125B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Emergency Health Coverage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7352AC36" w14:textId="77777777" w:rsidR="00D853E9" w:rsidRPr="00D07962" w:rsidRDefault="0046125B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D853E9" w:rsidRPr="007F5629" w14:paraId="61DDECF1" w14:textId="77777777" w:rsidTr="00DA6F48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9B7CCF8" w14:textId="77777777" w:rsidR="00D853E9" w:rsidRPr="00D07962" w:rsidRDefault="0046125B" w:rsidP="004C0687">
            <w:pPr>
              <w:keepNext/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>Emergency Department visits</w:t>
            </w:r>
            <w:r w:rsidRPr="00D07962"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1B3F2E3F" w14:textId="77777777" w:rsidR="00D853E9" w:rsidRPr="00D07962" w:rsidRDefault="0046125B" w:rsidP="004C0687">
            <w:pPr>
              <w:keepNext/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$100 per visit</w:t>
            </w:r>
          </w:p>
        </w:tc>
      </w:tr>
    </w:tbl>
    <w:p w14:paraId="19D7D363" w14:textId="77777777" w:rsidR="00D853E9" w:rsidRPr="00D07962" w:rsidRDefault="0046125B" w:rsidP="00A33C19">
      <w:pPr>
        <w:tabs>
          <w:tab w:val="left" w:leader="dot" w:pos="6980"/>
        </w:tabs>
        <w:ind w:left="80" w:hanging="80"/>
        <w:rPr>
          <w:rFonts w:cs="Arial"/>
          <w:noProof/>
        </w:rPr>
      </w:pPr>
      <w:r w:rsidRPr="00D07962">
        <w:rPr>
          <w:rFonts w:cs="Arial"/>
          <w:noProof/>
        </w:rPr>
        <w:t>Note: This Cost Share does not apply if you are admitted directly to the hospital as an inpatient for covered Services (see "Hospitalization Services" for inpatient Cost Share).</w:t>
      </w: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D853E9" w:rsidRPr="007F5629" w14:paraId="673FA322" w14:textId="77777777" w:rsidTr="00DA6F48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07D53DC8" w14:textId="77777777" w:rsidR="00D853E9" w:rsidRPr="00D07962" w:rsidRDefault="0046125B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Ambulance Services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1AAFD9B5" w14:textId="77777777" w:rsidR="00D853E9" w:rsidRPr="00D07962" w:rsidRDefault="0046125B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E71846" w:rsidRPr="00CB55FF" w14:paraId="22354EF7" w14:textId="77777777" w:rsidTr="00941060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0F6239E7" w14:textId="77777777" w:rsidR="00E71846" w:rsidRPr="008655F5" w:rsidRDefault="0046125B" w:rsidP="004E50C6">
            <w:pPr>
              <w:tabs>
                <w:tab w:val="left" w:leader="dot" w:pos="6617"/>
              </w:tabs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Ambulance Services</w:t>
            </w:r>
            <w:r w:rsidRPr="008655F5">
              <w:rPr>
                <w:rFonts w:cs="Arial"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465411A2" w14:textId="77777777" w:rsidR="00E71846" w:rsidRPr="008655F5" w:rsidRDefault="0046125B" w:rsidP="00676A57">
            <w:pPr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$100 per trip</w:t>
            </w:r>
          </w:p>
        </w:tc>
      </w:tr>
    </w:tbl>
    <w:p w14:paraId="72232EC5" w14:textId="77777777" w:rsidR="00D853E9" w:rsidRPr="0037056F" w:rsidRDefault="003C5297" w:rsidP="00A33C19">
      <w:pPr>
        <w:rPr>
          <w:rFonts w:cs="Arial"/>
          <w:noProof/>
          <w:sz w:val="6"/>
          <w:szCs w:val="6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D853E9" w:rsidRPr="007F5629" w14:paraId="176F0038" w14:textId="77777777" w:rsidTr="00DA6F48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4AC641FD" w14:textId="77777777" w:rsidR="00D853E9" w:rsidRPr="00D07962" w:rsidRDefault="0046125B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  <w:szCs w:val="18"/>
              </w:rPr>
            </w:pPr>
            <w:r w:rsidRPr="00D07962">
              <w:rPr>
                <w:rFonts w:cs="Arial"/>
                <w:b/>
                <w:noProof/>
                <w:szCs w:val="18"/>
              </w:rPr>
              <w:t>Prescription Drug Coverage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32DE5BA8" w14:textId="77777777" w:rsidR="00D853E9" w:rsidRPr="00D07962" w:rsidRDefault="0046125B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  <w:szCs w:val="18"/>
              </w:rPr>
            </w:pPr>
            <w:r w:rsidRPr="00D07962">
              <w:rPr>
                <w:rFonts w:cs="Arial"/>
                <w:b/>
                <w:noProof/>
                <w:szCs w:val="18"/>
              </w:rPr>
              <w:t>You Pay</w:t>
            </w:r>
          </w:p>
        </w:tc>
      </w:tr>
      <w:tr w:rsidR="00D853E9" w:rsidRPr="007F5629" w14:paraId="5615565B" w14:textId="77777777" w:rsidTr="00DA6F48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18682310" w14:textId="77777777" w:rsidR="00D853E9" w:rsidRPr="00D07962" w:rsidRDefault="0046125B" w:rsidP="004C0687">
            <w:pPr>
              <w:keepNext/>
              <w:tabs>
                <w:tab w:val="left" w:leader="dot" w:pos="6617"/>
              </w:tabs>
              <w:ind w:left="80" w:hanging="80"/>
              <w:rPr>
                <w:rFonts w:cs="Arial"/>
                <w:noProof/>
                <w:szCs w:val="18"/>
              </w:rPr>
            </w:pPr>
            <w:r w:rsidRPr="00D07962">
              <w:rPr>
                <w:rFonts w:cs="Arial"/>
                <w:noProof/>
                <w:szCs w:val="18"/>
              </w:rPr>
              <w:t>Covered outpatient items in accord with our drug formulary guidelines: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6E15D18F" w14:textId="77777777" w:rsidR="00D853E9" w:rsidRPr="00D07962" w:rsidRDefault="003C5297" w:rsidP="004C0687">
            <w:pPr>
              <w:keepNext/>
              <w:rPr>
                <w:rFonts w:cs="Arial"/>
                <w:noProof/>
                <w:szCs w:val="18"/>
              </w:rPr>
            </w:pPr>
          </w:p>
        </w:tc>
      </w:tr>
      <w:tr w:rsidR="00D853E9" w:rsidRPr="007F5629" w14:paraId="4425D847" w14:textId="77777777" w:rsidTr="00DA6F48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0B9EC132" w14:textId="77777777" w:rsidR="00D853E9" w:rsidRPr="00D07962" w:rsidRDefault="0046125B" w:rsidP="00281D08">
            <w:pPr>
              <w:tabs>
                <w:tab w:val="left" w:leader="dot" w:pos="6617"/>
              </w:tabs>
              <w:ind w:left="218" w:hanging="60"/>
              <w:rPr>
                <w:rFonts w:cs="Arial"/>
                <w:noProof/>
                <w:szCs w:val="18"/>
              </w:rPr>
            </w:pPr>
            <w:r>
              <w:rPr>
                <w:rFonts w:cs="Arial"/>
                <w:noProof/>
                <w:szCs w:val="18"/>
              </w:rPr>
              <w:t>Most generic</w:t>
            </w:r>
            <w:r w:rsidRPr="00D07962">
              <w:rPr>
                <w:rFonts w:cs="Arial"/>
                <w:noProof/>
                <w:szCs w:val="18"/>
              </w:rPr>
              <w:t xml:space="preserve"> items at a Plan Pharmacy</w:t>
            </w:r>
            <w:r w:rsidRPr="00D07962">
              <w:rPr>
                <w:rFonts w:cs="Arial"/>
                <w:noProof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6466505C" w14:textId="77777777" w:rsidR="00D853E9" w:rsidRPr="00E84598" w:rsidRDefault="0046125B" w:rsidP="00281D08">
            <w:pPr>
              <w:ind w:left="80" w:hanging="80"/>
              <w:rPr>
                <w:rFonts w:cs="Arial"/>
                <w:noProof/>
                <w:szCs w:val="18"/>
              </w:rPr>
            </w:pPr>
            <w:r w:rsidRPr="004F598F">
              <w:rPr>
                <w:rFonts w:cs="Arial"/>
                <w:noProof/>
                <w:szCs w:val="18"/>
              </w:rPr>
              <w:t>$15 for up to a 30-day supply</w:t>
            </w:r>
          </w:p>
        </w:tc>
      </w:tr>
      <w:tr w:rsidR="00D853E9" w:rsidRPr="007F5629" w14:paraId="6071D826" w14:textId="77777777" w:rsidTr="00DA6F48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AE6E31F" w14:textId="77777777" w:rsidR="00D853E9" w:rsidRPr="00D07962" w:rsidRDefault="0046125B" w:rsidP="00281D08">
            <w:pPr>
              <w:tabs>
                <w:tab w:val="left" w:leader="dot" w:pos="6617"/>
              </w:tabs>
              <w:ind w:left="218" w:hanging="60"/>
              <w:rPr>
                <w:rFonts w:cs="Arial"/>
                <w:noProof/>
                <w:szCs w:val="18"/>
              </w:rPr>
            </w:pPr>
            <w:r>
              <w:rPr>
                <w:rFonts w:cs="Arial"/>
                <w:noProof/>
                <w:szCs w:val="18"/>
              </w:rPr>
              <w:t>Most generic</w:t>
            </w:r>
            <w:r w:rsidRPr="00D07962">
              <w:rPr>
                <w:rFonts w:cs="Arial"/>
                <w:noProof/>
                <w:szCs w:val="18"/>
              </w:rPr>
              <w:t xml:space="preserve"> refills through our mail-order service</w:t>
            </w:r>
            <w:r w:rsidRPr="00D07962">
              <w:rPr>
                <w:rFonts w:cs="Arial"/>
                <w:noProof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06A41979" w14:textId="77777777" w:rsidR="00D853E9" w:rsidRPr="00D07962" w:rsidRDefault="0046125B" w:rsidP="00281D08">
            <w:pPr>
              <w:ind w:left="80" w:hanging="80"/>
              <w:rPr>
                <w:rFonts w:cs="Arial"/>
                <w:noProof/>
                <w:szCs w:val="18"/>
              </w:rPr>
            </w:pPr>
            <w:r w:rsidRPr="00A01F22">
              <w:t>$30 for up to a 100-day supply</w:t>
            </w:r>
          </w:p>
        </w:tc>
      </w:tr>
      <w:tr w:rsidR="00D853E9" w:rsidRPr="007F5629" w14:paraId="004E164C" w14:textId="77777777" w:rsidTr="00DA6F48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0A7E158E" w14:textId="77777777" w:rsidR="00D853E9" w:rsidRPr="00D07962" w:rsidRDefault="0046125B" w:rsidP="00281D08">
            <w:pPr>
              <w:tabs>
                <w:tab w:val="left" w:leader="dot" w:pos="6617"/>
              </w:tabs>
              <w:ind w:left="218" w:hanging="60"/>
              <w:rPr>
                <w:rFonts w:cs="Arial"/>
                <w:noProof/>
                <w:szCs w:val="18"/>
              </w:rPr>
            </w:pPr>
            <w:r>
              <w:rPr>
                <w:rFonts w:cs="Arial"/>
                <w:noProof/>
                <w:szCs w:val="18"/>
              </w:rPr>
              <w:t>Most</w:t>
            </w:r>
            <w:r w:rsidRPr="00D07962">
              <w:rPr>
                <w:rFonts w:cs="Arial"/>
                <w:noProof/>
                <w:szCs w:val="18"/>
              </w:rPr>
              <w:t xml:space="preserve"> brand-name</w:t>
            </w:r>
            <w:r>
              <w:rPr>
                <w:rFonts w:cs="Arial"/>
                <w:noProof/>
                <w:szCs w:val="18"/>
              </w:rPr>
              <w:t xml:space="preserve"> </w:t>
            </w:r>
            <w:r w:rsidRPr="00D07962">
              <w:rPr>
                <w:rFonts w:cs="Arial"/>
                <w:noProof/>
                <w:szCs w:val="18"/>
              </w:rPr>
              <w:t>items at a Plan Pharmacy</w:t>
            </w:r>
            <w:r w:rsidRPr="00D07962">
              <w:rPr>
                <w:rFonts w:cs="Arial"/>
                <w:noProof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220DA3B5" w14:textId="77777777" w:rsidR="00D853E9" w:rsidRPr="00E84598" w:rsidRDefault="0046125B" w:rsidP="00281D08">
            <w:pPr>
              <w:ind w:left="80" w:hanging="80"/>
              <w:rPr>
                <w:rFonts w:cs="Arial"/>
                <w:noProof/>
                <w:szCs w:val="18"/>
              </w:rPr>
            </w:pPr>
            <w:r w:rsidRPr="004F598F">
              <w:rPr>
                <w:rFonts w:cs="Arial"/>
                <w:noProof/>
                <w:szCs w:val="18"/>
              </w:rPr>
              <w:t>$30 for up to a 30-day supply</w:t>
            </w:r>
          </w:p>
        </w:tc>
      </w:tr>
      <w:tr w:rsidR="00D853E9" w:rsidRPr="007F5629" w14:paraId="155105C9" w14:textId="77777777" w:rsidTr="00DA6F48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4EBA1649" w14:textId="77777777" w:rsidR="00D853E9" w:rsidRPr="00D07962" w:rsidRDefault="0046125B" w:rsidP="00281D08">
            <w:pPr>
              <w:tabs>
                <w:tab w:val="left" w:leader="dot" w:pos="6617"/>
              </w:tabs>
              <w:ind w:left="218" w:hanging="6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Most brand-name</w:t>
            </w:r>
            <w:r w:rsidRPr="00D07962">
              <w:rPr>
                <w:rFonts w:cs="Arial"/>
                <w:noProof/>
              </w:rPr>
              <w:t xml:space="preserve"> refills through our mail-order service</w:t>
            </w:r>
            <w:r w:rsidRPr="00D07962"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53F5BC98" w14:textId="77777777" w:rsidR="00D853E9" w:rsidRPr="00D07962" w:rsidRDefault="0046125B" w:rsidP="00281D08">
            <w:pPr>
              <w:ind w:left="80" w:hanging="80"/>
              <w:rPr>
                <w:rFonts w:cs="Arial"/>
                <w:noProof/>
              </w:rPr>
            </w:pPr>
            <w:r w:rsidRPr="00A01F22">
              <w:t>$60 for up to a 100-day supply</w:t>
            </w:r>
          </w:p>
        </w:tc>
      </w:tr>
      <w:tr w:rsidR="00D853E9" w:rsidRPr="007F5629" w14:paraId="51B1F7CE" w14:textId="77777777" w:rsidTr="00DA6F48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6057BF71" w14:textId="77777777" w:rsidR="00D853E9" w:rsidRPr="00D07962" w:rsidRDefault="0046125B" w:rsidP="00281D08">
            <w:pPr>
              <w:tabs>
                <w:tab w:val="left" w:leader="dot" w:pos="6617"/>
              </w:tabs>
              <w:ind w:left="218" w:hanging="60"/>
              <w:rPr>
                <w:rFonts w:cs="Arial"/>
                <w:noProof/>
                <w:szCs w:val="18"/>
              </w:rPr>
            </w:pPr>
            <w:r>
              <w:rPr>
                <w:rFonts w:cs="Arial"/>
                <w:noProof/>
                <w:szCs w:val="18"/>
              </w:rPr>
              <w:t>Most specialty items at a Plan Pharmacy</w:t>
            </w:r>
            <w:r w:rsidRPr="00D07962">
              <w:rPr>
                <w:rFonts w:cs="Arial"/>
                <w:noProof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21584092" w14:textId="77777777" w:rsidR="00D853E9" w:rsidRPr="00E84598" w:rsidRDefault="0046125B" w:rsidP="00281D08">
            <w:pPr>
              <w:ind w:left="80" w:hanging="80"/>
              <w:rPr>
                <w:rFonts w:cs="Arial"/>
                <w:noProof/>
                <w:szCs w:val="18"/>
              </w:rPr>
            </w:pPr>
            <w:r w:rsidRPr="00A42793">
              <w:t>$30 for up to a 30-day supply</w:t>
            </w:r>
          </w:p>
        </w:tc>
      </w:tr>
    </w:tbl>
    <w:p w14:paraId="337C80B7" w14:textId="77777777" w:rsidR="00D853E9" w:rsidRPr="0037056F" w:rsidRDefault="003C5297" w:rsidP="00A33C19">
      <w:pPr>
        <w:rPr>
          <w:rFonts w:cs="Arial"/>
          <w:noProof/>
          <w:sz w:val="6"/>
          <w:szCs w:val="6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D853E9" w:rsidRPr="007F5629" w14:paraId="43702943" w14:textId="77777777" w:rsidTr="00DA6F48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4A62AF04" w14:textId="77777777" w:rsidR="00D853E9" w:rsidRPr="00D07962" w:rsidRDefault="0046125B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Durable Medical Equipment</w:t>
            </w:r>
            <w:r>
              <w:rPr>
                <w:rFonts w:cs="Arial"/>
                <w:b/>
                <w:noProof/>
              </w:rPr>
              <w:t xml:space="preserve"> (DME)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46E111AE" w14:textId="77777777" w:rsidR="00D853E9" w:rsidRPr="00D07962" w:rsidRDefault="0046125B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D853E9" w:rsidRPr="007F5629" w14:paraId="6DF27F03" w14:textId="77777777" w:rsidTr="00DA6F48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40EBBC24" w14:textId="77777777" w:rsidR="00D853E9" w:rsidRPr="00D07962" w:rsidRDefault="0046125B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t xml:space="preserve">DME items </w:t>
            </w:r>
            <w:r w:rsidRPr="00D07962">
              <w:rPr>
                <w:rFonts w:cs="Arial"/>
                <w:noProof/>
              </w:rPr>
              <w:t xml:space="preserve">as described in the </w:t>
            </w:r>
            <w:r w:rsidRPr="00D07962">
              <w:rPr>
                <w:rFonts w:cs="Arial"/>
                <w:i/>
                <w:noProof/>
              </w:rPr>
              <w:t>EOC</w:t>
            </w:r>
            <w:r w:rsidRPr="00D07962"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2E9D91E3" w14:textId="77777777" w:rsidR="00D853E9" w:rsidRPr="00D07962" w:rsidRDefault="0046125B" w:rsidP="00281D08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20% Coinsurance</w:t>
            </w:r>
          </w:p>
        </w:tc>
      </w:tr>
    </w:tbl>
    <w:p w14:paraId="0AFF9639" w14:textId="77777777" w:rsidR="00D853E9" w:rsidRPr="0037056F" w:rsidRDefault="003C5297" w:rsidP="00A33C19">
      <w:pPr>
        <w:rPr>
          <w:rFonts w:cs="Arial"/>
          <w:noProof/>
          <w:sz w:val="6"/>
          <w:szCs w:val="6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D853E9" w:rsidRPr="007F5629" w14:paraId="77A746A4" w14:textId="77777777" w:rsidTr="00DA6F48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0A32AD33" w14:textId="77777777" w:rsidR="00D853E9" w:rsidRPr="00D07962" w:rsidRDefault="0046125B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Mental Health Services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552B429C" w14:textId="77777777" w:rsidR="00D853E9" w:rsidRPr="00D07962" w:rsidRDefault="0046125B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E71846" w:rsidRPr="00CB55FF" w14:paraId="57946B3A" w14:textId="77777777" w:rsidTr="00941060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674DF7F6" w14:textId="77777777" w:rsidR="00E71846" w:rsidRPr="008655F5" w:rsidRDefault="0046125B" w:rsidP="004E50C6">
            <w:pPr>
              <w:tabs>
                <w:tab w:val="left" w:leader="dot" w:pos="6617"/>
              </w:tabs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Inpatient psychiatric hospitalization</w:t>
            </w:r>
            <w:r w:rsidRPr="008655F5">
              <w:rPr>
                <w:rFonts w:cs="Arial"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352E9845" w14:textId="77777777" w:rsidR="00E71846" w:rsidRPr="008655F5" w:rsidRDefault="0046125B" w:rsidP="00676A57">
            <w:pPr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$250 per admission</w:t>
            </w:r>
          </w:p>
        </w:tc>
      </w:tr>
      <w:tr w:rsidR="00E71846" w:rsidRPr="00CB55FF" w14:paraId="3B7E3E6B" w14:textId="77777777" w:rsidTr="00941060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3E279F1" w14:textId="77777777" w:rsidR="00E71846" w:rsidRPr="008655F5" w:rsidRDefault="0046125B" w:rsidP="004E50C6">
            <w:pPr>
              <w:tabs>
                <w:tab w:val="left" w:leader="dot" w:pos="6617"/>
              </w:tabs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Individual outpatient mental health evaluation and treatment</w:t>
            </w:r>
            <w:r w:rsidRPr="008655F5">
              <w:rPr>
                <w:rFonts w:cs="Arial"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526D05A4" w14:textId="77777777" w:rsidR="00E71846" w:rsidRPr="008655F5" w:rsidRDefault="0046125B" w:rsidP="00676A57">
            <w:pPr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$20 per visit</w:t>
            </w:r>
          </w:p>
        </w:tc>
      </w:tr>
      <w:tr w:rsidR="00E71846" w:rsidRPr="00CB55FF" w14:paraId="16990BC5" w14:textId="77777777" w:rsidTr="00941060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52D608A" w14:textId="77777777" w:rsidR="00E71846" w:rsidRPr="008655F5" w:rsidRDefault="0046125B" w:rsidP="004E50C6">
            <w:pPr>
              <w:tabs>
                <w:tab w:val="left" w:leader="dot" w:pos="6617"/>
              </w:tabs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Group outpatient mental health treatment</w:t>
            </w:r>
            <w:r w:rsidRPr="008655F5">
              <w:rPr>
                <w:rFonts w:cs="Arial"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68DD8DE2" w14:textId="77777777" w:rsidR="00E71846" w:rsidRPr="008655F5" w:rsidRDefault="0046125B" w:rsidP="00676A57">
            <w:pPr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$10 per visit</w:t>
            </w:r>
          </w:p>
        </w:tc>
      </w:tr>
    </w:tbl>
    <w:p w14:paraId="086530ED" w14:textId="77777777" w:rsidR="00D853E9" w:rsidRPr="0037056F" w:rsidRDefault="003C5297" w:rsidP="00A33C19">
      <w:pPr>
        <w:rPr>
          <w:rFonts w:cs="Arial"/>
          <w:noProof/>
          <w:sz w:val="6"/>
          <w:szCs w:val="6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D853E9" w:rsidRPr="007F5629" w14:paraId="0FAF288E" w14:textId="77777777" w:rsidTr="00DA6F48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2D12BBF5" w14:textId="77777777" w:rsidR="00D853E9" w:rsidRPr="00293FCD" w:rsidRDefault="0046125B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lastRenderedPageBreak/>
              <w:t>Substance Use Disorder Treatment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42C160E6" w14:textId="77777777" w:rsidR="00D853E9" w:rsidRPr="00D07962" w:rsidRDefault="0046125B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E71846" w:rsidRPr="00CB55FF" w14:paraId="704222A5" w14:textId="77777777" w:rsidTr="00941060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4DB390A0" w14:textId="77777777" w:rsidR="00E71846" w:rsidRPr="008655F5" w:rsidRDefault="0046125B" w:rsidP="004E50C6">
            <w:pPr>
              <w:tabs>
                <w:tab w:val="left" w:leader="dot" w:pos="6617"/>
              </w:tabs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Inpatient detoxification</w:t>
            </w:r>
            <w:r w:rsidRPr="008655F5">
              <w:rPr>
                <w:rFonts w:cs="Arial"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7CC01713" w14:textId="77777777" w:rsidR="00E71846" w:rsidRPr="008655F5" w:rsidRDefault="0046125B" w:rsidP="00676A57">
            <w:pPr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$250 per admission</w:t>
            </w:r>
          </w:p>
        </w:tc>
      </w:tr>
      <w:tr w:rsidR="00E71846" w:rsidRPr="00CB55FF" w14:paraId="52890C89" w14:textId="77777777" w:rsidTr="00941060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3437FFC4" w14:textId="77777777" w:rsidR="00E71846" w:rsidRPr="008655F5" w:rsidRDefault="0046125B" w:rsidP="004E50C6">
            <w:pPr>
              <w:tabs>
                <w:tab w:val="left" w:leader="dot" w:pos="6617"/>
              </w:tabs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Individual outpatient substance use disorder evaluation and treatment</w:t>
            </w:r>
            <w:r w:rsidRPr="008655F5">
              <w:rPr>
                <w:rFonts w:cs="Arial"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635BC45D" w14:textId="77777777" w:rsidR="00E71846" w:rsidRPr="008655F5" w:rsidRDefault="0046125B" w:rsidP="00676A57">
            <w:pPr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$20 per visit</w:t>
            </w:r>
          </w:p>
        </w:tc>
      </w:tr>
      <w:tr w:rsidR="00E71846" w:rsidRPr="00CB55FF" w14:paraId="14318814" w14:textId="77777777" w:rsidTr="00941060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6EB2BB0F" w14:textId="77777777" w:rsidR="00E71846" w:rsidRPr="008655F5" w:rsidRDefault="0046125B" w:rsidP="004E50C6">
            <w:pPr>
              <w:tabs>
                <w:tab w:val="left" w:leader="dot" w:pos="6617"/>
              </w:tabs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Group outpatient substance use disorder treatment</w:t>
            </w:r>
            <w:r w:rsidRPr="008655F5">
              <w:rPr>
                <w:rFonts w:cs="Arial"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59BF1FBD" w14:textId="77777777" w:rsidR="00E71846" w:rsidRPr="008655F5" w:rsidRDefault="0046125B" w:rsidP="00676A57">
            <w:pPr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$5 per visit</w:t>
            </w:r>
          </w:p>
        </w:tc>
      </w:tr>
    </w:tbl>
    <w:p w14:paraId="4B3E28C1" w14:textId="77777777" w:rsidR="00D853E9" w:rsidRPr="0037056F" w:rsidRDefault="003C5297" w:rsidP="00A33C19">
      <w:pPr>
        <w:rPr>
          <w:rFonts w:cs="Arial"/>
          <w:noProof/>
          <w:sz w:val="6"/>
          <w:szCs w:val="6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D853E9" w:rsidRPr="007F5629" w14:paraId="2EA0C73B" w14:textId="77777777" w:rsidTr="00DA6F48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2AAE4483" w14:textId="77777777" w:rsidR="00D853E9" w:rsidRPr="00D07962" w:rsidRDefault="0046125B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Home Health Services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7A872B9B" w14:textId="77777777" w:rsidR="00D853E9" w:rsidRPr="00D07962" w:rsidRDefault="0046125B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E71846" w:rsidRPr="00CB55FF" w14:paraId="1DC2CB94" w14:textId="77777777" w:rsidTr="00941060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6907E7E4" w14:textId="77777777" w:rsidR="00E71846" w:rsidRPr="008655F5" w:rsidRDefault="0046125B" w:rsidP="004E50C6">
            <w:pPr>
              <w:tabs>
                <w:tab w:val="left" w:leader="dot" w:pos="6617"/>
              </w:tabs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Home health care (up to 100 visits per Accumulation Period)</w:t>
            </w:r>
            <w:r w:rsidRPr="008655F5">
              <w:rPr>
                <w:rFonts w:cs="Arial"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6F57FE47" w14:textId="77777777" w:rsidR="00E71846" w:rsidRPr="008655F5" w:rsidRDefault="0046125B" w:rsidP="00676A57">
            <w:pPr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No charge</w:t>
            </w:r>
          </w:p>
        </w:tc>
      </w:tr>
    </w:tbl>
    <w:p w14:paraId="5508A1E4" w14:textId="77777777" w:rsidR="00D853E9" w:rsidRPr="0037056F" w:rsidRDefault="003C5297" w:rsidP="00A33C19">
      <w:pPr>
        <w:rPr>
          <w:rFonts w:cs="Arial"/>
          <w:noProof/>
          <w:sz w:val="6"/>
          <w:szCs w:val="6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D853E9" w:rsidRPr="007F5629" w14:paraId="0031B147" w14:textId="77777777" w:rsidTr="00DA6F48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4737795A" w14:textId="77777777" w:rsidR="00D853E9" w:rsidRPr="00D07962" w:rsidRDefault="0046125B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Other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36373D26" w14:textId="77777777" w:rsidR="00D853E9" w:rsidRPr="00D07962" w:rsidRDefault="0046125B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E71846" w:rsidRPr="00CB55FF" w14:paraId="37DBA011" w14:textId="77777777" w:rsidTr="00941060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0D6A9570" w14:textId="77777777" w:rsidR="00E71846" w:rsidRPr="008655F5" w:rsidRDefault="0046125B" w:rsidP="004E50C6">
            <w:pPr>
              <w:tabs>
                <w:tab w:val="left" w:leader="dot" w:pos="6617"/>
              </w:tabs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Skilled nursing facility care (up to 100 days per benefit period)</w:t>
            </w:r>
            <w:r w:rsidRPr="008655F5">
              <w:rPr>
                <w:rFonts w:cs="Arial"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4CF39659" w14:textId="77777777" w:rsidR="00E71846" w:rsidRPr="008655F5" w:rsidRDefault="0046125B" w:rsidP="00676A57">
            <w:pPr>
              <w:ind w:left="80" w:hanging="80"/>
              <w:rPr>
                <w:rFonts w:cs="Arial"/>
                <w:szCs w:val="18"/>
              </w:rPr>
            </w:pPr>
            <w:r w:rsidRPr="008655F5">
              <w:rPr>
                <w:rFonts w:cs="Arial"/>
                <w:szCs w:val="18"/>
              </w:rPr>
              <w:t>No charge</w:t>
            </w:r>
          </w:p>
        </w:tc>
      </w:tr>
      <w:tr w:rsidR="00D853E9" w:rsidRPr="007F5629" w14:paraId="3A81A2E9" w14:textId="77777777" w:rsidTr="00DA6F48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F988004" w14:textId="77777777" w:rsidR="00D853E9" w:rsidRPr="00D07962" w:rsidRDefault="0046125B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0C4652">
              <w:t xml:space="preserve">Prosthetic and orthotic devices </w:t>
            </w:r>
            <w:r w:rsidRPr="00D07962">
              <w:rPr>
                <w:rFonts w:cs="Arial"/>
                <w:noProof/>
              </w:rPr>
              <w:t xml:space="preserve">as described in the </w:t>
            </w:r>
            <w:r w:rsidRPr="00D07962">
              <w:rPr>
                <w:rFonts w:cs="Arial"/>
                <w:i/>
                <w:noProof/>
              </w:rPr>
              <w:t>EOC</w:t>
            </w:r>
            <w:r w:rsidRPr="00D07962"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18742379" w14:textId="77777777" w:rsidR="00D853E9" w:rsidRPr="00D07962" w:rsidRDefault="0046125B" w:rsidP="00281D08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D853E9" w:rsidRPr="007F5629" w14:paraId="0156AE9A" w14:textId="77777777" w:rsidTr="00DA6F48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1A53A933" w14:textId="77777777" w:rsidR="00D853E9" w:rsidRPr="00D07962" w:rsidRDefault="0046125B" w:rsidP="00B97F7A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t xml:space="preserve">Services to diagnose or treat infertility and artificial insemination (such as outpatient procedures or laboratory tests) as described in the </w:t>
            </w:r>
            <w:r w:rsidRPr="00D07962">
              <w:rPr>
                <w:rFonts w:cs="Arial"/>
                <w:i/>
                <w:noProof/>
              </w:rPr>
              <w:t>EOC</w:t>
            </w:r>
            <w:r w:rsidRPr="00D07962"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168EDA3A" w14:textId="77777777" w:rsidR="00D853E9" w:rsidRPr="00D07962" w:rsidRDefault="0046125B" w:rsidP="008927C0">
            <w:pPr>
              <w:ind w:left="80" w:hanging="80"/>
              <w:rPr>
                <w:rFonts w:cs="Arial"/>
                <w:noProof/>
              </w:rPr>
            </w:pPr>
            <w:r>
              <w:t xml:space="preserve">see </w:t>
            </w:r>
            <w:r w:rsidRPr="00D07962">
              <w:rPr>
                <w:rFonts w:cs="Arial"/>
                <w:i/>
                <w:noProof/>
              </w:rPr>
              <w:t>EOC</w:t>
            </w:r>
            <w:r>
              <w:rPr>
                <w:rFonts w:cs="Arial"/>
                <w:i/>
                <w:noProof/>
              </w:rPr>
              <w:t xml:space="preserve"> </w:t>
            </w:r>
            <w:r>
              <w:t>for</w:t>
            </w:r>
            <w:r w:rsidRPr="003E1064">
              <w:t xml:space="preserve"> Cost Share</w:t>
            </w:r>
          </w:p>
        </w:tc>
      </w:tr>
      <w:tr w:rsidR="00D853E9" w:rsidRPr="007F5629" w14:paraId="4A9028F6" w14:textId="77777777" w:rsidTr="00DA6F48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5750104" w14:textId="77777777" w:rsidR="00D853E9" w:rsidRPr="00D07962" w:rsidRDefault="0046125B" w:rsidP="004E4DC3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</w:rPr>
              <w:t>A</w:t>
            </w:r>
            <w:r w:rsidRPr="008F6855">
              <w:rPr>
                <w:rFonts w:cs="Arial"/>
              </w:rPr>
              <w:t xml:space="preserve">ssisted reproductive technology </w:t>
            </w:r>
            <w:r>
              <w:rPr>
                <w:rFonts w:cs="Arial"/>
              </w:rPr>
              <w:t>("ART") Services</w:t>
            </w:r>
            <w:r w:rsidRPr="00D07962"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24B4E3B4" w14:textId="77777777" w:rsidR="00D853E9" w:rsidRPr="00D07962" w:rsidRDefault="0046125B" w:rsidP="004E4DC3">
            <w:pPr>
              <w:ind w:left="80" w:hanging="80"/>
              <w:rPr>
                <w:rFonts w:cs="Arial"/>
                <w:noProof/>
              </w:rPr>
            </w:pPr>
            <w:r>
              <w:t>Not covered</w:t>
            </w:r>
          </w:p>
        </w:tc>
      </w:tr>
      <w:tr w:rsidR="00D853E9" w:rsidRPr="007F5629" w14:paraId="3F42ACB9" w14:textId="77777777" w:rsidTr="00DA6F48">
        <w:tblPrEx>
          <w:tblBorders>
            <w:bottom w:val="single" w:sz="8" w:space="0" w:color="auto"/>
          </w:tblBorders>
        </w:tblPrEx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17804487" w14:textId="77777777" w:rsidR="00D853E9" w:rsidRPr="00D07962" w:rsidRDefault="0046125B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>Hospice care</w:t>
            </w:r>
            <w:r w:rsidRPr="00D07962"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2ED1BCBF" w14:textId="77777777" w:rsidR="00D853E9" w:rsidRPr="00D07962" w:rsidRDefault="0046125B" w:rsidP="00281D08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</w:tbl>
    <w:p w14:paraId="7BE91E07" w14:textId="77777777" w:rsidR="00C64220" w:rsidRDefault="0046125B" w:rsidP="00A33C19">
      <w:pPr>
        <w:keepNext/>
      </w:pPr>
      <w:r w:rsidRPr="001950A9">
        <w:rPr>
          <w:rFonts w:cs="Arial"/>
          <w:noProof/>
        </w:rPr>
        <w:t>This is a summary of the most frequently asked-about benefits. This chart does not expl</w:t>
      </w:r>
      <w:r>
        <w:rPr>
          <w:rFonts w:cs="Arial"/>
          <w:noProof/>
        </w:rPr>
        <w:t>ain benefits, Cost Share,</w:t>
      </w:r>
      <w:r w:rsidRPr="001950A9">
        <w:rPr>
          <w:rFonts w:cs="Arial"/>
          <w:noProof/>
        </w:rPr>
        <w:t xml:space="preserve"> out-of-pocket maximums, exclusions, or limitations, nor does it list all benefits and </w:t>
      </w:r>
      <w:r>
        <w:rPr>
          <w:rFonts w:cs="Arial"/>
          <w:noProof/>
        </w:rPr>
        <w:t>Cost Share amounts</w:t>
      </w:r>
      <w:r w:rsidRPr="001950A9">
        <w:rPr>
          <w:rFonts w:cs="Arial"/>
          <w:noProof/>
        </w:rPr>
        <w:t xml:space="preserve">. For a complete explanation, please refer to the </w:t>
      </w:r>
      <w:r w:rsidRPr="001950A9">
        <w:rPr>
          <w:rFonts w:cs="Arial"/>
          <w:i/>
          <w:noProof/>
        </w:rPr>
        <w:t>EOC</w:t>
      </w:r>
      <w:r w:rsidRPr="001950A9">
        <w:rPr>
          <w:rFonts w:cs="Arial"/>
          <w:noProof/>
        </w:rPr>
        <w:t>. Please note that we provide all benefits required by law (for example, diabetes testing supplies).</w:t>
      </w:r>
    </w:p>
    <w:sectPr w:rsidR="00C64220" w:rsidSect="002F5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098CF" w14:textId="77777777" w:rsidR="004C40DC" w:rsidRDefault="0046125B">
      <w:r>
        <w:separator/>
      </w:r>
    </w:p>
  </w:endnote>
  <w:endnote w:type="continuationSeparator" w:id="0">
    <w:p w14:paraId="16BEBBD4" w14:textId="77777777" w:rsidR="004C40DC" w:rsidRDefault="0046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F9F9" w14:textId="77777777" w:rsidR="00C64220" w:rsidRDefault="0046125B">
    <w:pPr>
      <w:pStyle w:val="Footer"/>
      <w:tabs>
        <w:tab w:val="clear" w:pos="4320"/>
        <w:tab w:val="clear" w:pos="8640"/>
        <w:tab w:val="center" w:pos="7200"/>
        <w:tab w:val="right" w:pos="11340"/>
      </w:tabs>
    </w:pPr>
    <w:r>
      <w:t xml:space="preserve">117475.85.1.S000564044 - Traditional HMO SCR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48333" w14:textId="77777777" w:rsidR="00C64220" w:rsidRPr="00ED092E" w:rsidRDefault="0046125B" w:rsidP="007D2296">
    <w:pPr>
      <w:pStyle w:val="Footer"/>
      <w:pBdr>
        <w:bottom w:val="single" w:sz="8" w:space="1" w:color="auto"/>
      </w:pBdr>
      <w:tabs>
        <w:tab w:val="clear" w:pos="4320"/>
        <w:tab w:val="clear" w:pos="8640"/>
        <w:tab w:val="right" w:pos="10800"/>
      </w:tabs>
      <w:spacing w:before="120"/>
      <w:jc w:val="right"/>
      <w:rPr>
        <w:szCs w:val="18"/>
      </w:rPr>
    </w:pPr>
    <w:r w:rsidRPr="00ED092E">
      <w:rPr>
        <w:szCs w:val="18"/>
      </w:rPr>
      <w:t xml:space="preserve">117475.85.1.S000564044 - Traditional HMO </w:t>
    </w:r>
    <w:proofErr w:type="gramStart"/>
    <w:r w:rsidRPr="00ED092E">
      <w:rPr>
        <w:szCs w:val="18"/>
      </w:rPr>
      <w:t xml:space="preserve">SCR  </w:t>
    </w:r>
    <w:r w:rsidRPr="00ED092E">
      <w:rPr>
        <w:szCs w:val="18"/>
      </w:rPr>
      <w:tab/>
    </w:r>
    <w:proofErr w:type="gramEnd"/>
    <w:r w:rsidRPr="00B9105B">
      <w:rPr>
        <w:i/>
        <w:sz w:val="12"/>
      </w:rPr>
      <w:t>117475.85.1.S000564044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6AFDA" w14:textId="77777777" w:rsidR="00C64220" w:rsidRPr="00ED092E" w:rsidRDefault="0046125B" w:rsidP="007D2296">
    <w:pPr>
      <w:pStyle w:val="Footer"/>
      <w:pBdr>
        <w:bottom w:val="single" w:sz="8" w:space="1" w:color="auto"/>
      </w:pBdr>
      <w:tabs>
        <w:tab w:val="clear" w:pos="4320"/>
        <w:tab w:val="clear" w:pos="8640"/>
        <w:tab w:val="right" w:pos="10800"/>
      </w:tabs>
      <w:spacing w:before="120"/>
      <w:jc w:val="right"/>
      <w:rPr>
        <w:szCs w:val="18"/>
      </w:rPr>
    </w:pPr>
    <w:r w:rsidRPr="00ED092E">
      <w:rPr>
        <w:szCs w:val="18"/>
      </w:rPr>
      <w:t xml:space="preserve">117475.85.1.S000564044 - Traditional HMO </w:t>
    </w:r>
    <w:proofErr w:type="gramStart"/>
    <w:r w:rsidRPr="00ED092E">
      <w:rPr>
        <w:szCs w:val="18"/>
      </w:rPr>
      <w:t xml:space="preserve">SCR  </w:t>
    </w:r>
    <w:r w:rsidRPr="00ED092E">
      <w:rPr>
        <w:szCs w:val="18"/>
      </w:rPr>
      <w:tab/>
    </w:r>
    <w:proofErr w:type="gramEnd"/>
    <w:r w:rsidRPr="00ED092E">
      <w:rPr>
        <w:i/>
        <w:szCs w:val="18"/>
      </w:rPr>
      <w:t>(continues)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1F72B" w14:textId="77777777" w:rsidR="004C40DC" w:rsidRDefault="0046125B">
      <w:r>
        <w:separator/>
      </w:r>
    </w:p>
  </w:footnote>
  <w:footnote w:type="continuationSeparator" w:id="0">
    <w:p w14:paraId="60044F21" w14:textId="77777777" w:rsidR="004C40DC" w:rsidRDefault="0046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E677" w14:textId="77777777" w:rsidR="0046125B" w:rsidRDefault="00461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447E" w14:textId="77777777" w:rsidR="00C64220" w:rsidRPr="00AA4000" w:rsidRDefault="003C5297" w:rsidP="000004FF">
    <w:pPr>
      <w:pBdr>
        <w:top w:val="single" w:sz="4" w:space="1" w:color="auto"/>
      </w:pBdr>
      <w:rPr>
        <w:sz w:val="2"/>
        <w:szCs w:val="2"/>
      </w:rPr>
    </w:pPr>
  </w:p>
  <w:p w14:paraId="71D055AF" w14:textId="77777777" w:rsidR="00472E38" w:rsidRDefault="0046125B" w:rsidP="00472E38">
    <w:pPr>
      <w:tabs>
        <w:tab w:val="right" w:pos="10800"/>
      </w:tabs>
      <w:spacing w:after="120"/>
      <w:rPr>
        <w:b/>
        <w:sz w:val="21"/>
        <w:szCs w:val="21"/>
      </w:rPr>
    </w:pPr>
    <w:r w:rsidRPr="00BC0207">
      <w:rPr>
        <w:b/>
        <w:sz w:val="21"/>
        <w:szCs w:val="21"/>
      </w:rPr>
      <w:t>Benefit Summary</w:t>
    </w:r>
    <w:r>
      <w:rPr>
        <w:b/>
        <w:sz w:val="21"/>
        <w:szCs w:val="21"/>
      </w:rPr>
      <w:t xml:space="preserve"> </w:t>
    </w:r>
    <w:r>
      <w:rPr>
        <w:b/>
        <w:sz w:val="21"/>
        <w:szCs w:val="21"/>
      </w:rPr>
      <w:tab/>
    </w:r>
    <w:r w:rsidRPr="00BC0207">
      <w:rPr>
        <w:i/>
      </w:rPr>
      <w:t xml:space="preserve">   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C922" w14:textId="77777777" w:rsidR="00C64220" w:rsidRPr="00644DCC" w:rsidRDefault="003C5297" w:rsidP="000004FF">
    <w:pPr>
      <w:pBdr>
        <w:top w:val="single" w:sz="4" w:space="1" w:color="auto"/>
      </w:pBdr>
      <w:rPr>
        <w:sz w:val="2"/>
        <w:szCs w:val="2"/>
      </w:rPr>
    </w:pPr>
  </w:p>
  <w:p w14:paraId="02CB10E5" w14:textId="77777777" w:rsidR="00C64220" w:rsidRDefault="0046125B" w:rsidP="00BC0207">
    <w:pPr>
      <w:spacing w:after="120"/>
      <w:rPr>
        <w:b/>
        <w:sz w:val="21"/>
        <w:szCs w:val="21"/>
      </w:rPr>
    </w:pPr>
    <w:r>
      <w:rPr>
        <w:b/>
        <w:sz w:val="21"/>
        <w:szCs w:val="21"/>
      </w:rPr>
      <w:t>Benefit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06F460"/>
    <w:styleLink w:val="1111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FB60E30"/>
    <w:lvl w:ilvl="0">
      <w:start w:val="1"/>
      <w:numFmt w:val="decimal"/>
      <w:pStyle w:val="ListBulle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01253AC"/>
    <w:lvl w:ilvl="0">
      <w:start w:val="1"/>
      <w:numFmt w:val="decimal"/>
      <w:pStyle w:val="ListBullet2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1AEF54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FE40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2EFB0A"/>
    <w:lvl w:ilvl="0">
      <w:start w:val="1"/>
      <w:numFmt w:val="bullet"/>
      <w:pStyle w:val="ListNumber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22F724"/>
    <w:lvl w:ilvl="0">
      <w:start w:val="1"/>
      <w:numFmt w:val="bullet"/>
      <w:pStyle w:val="ListNumber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C24EB6"/>
    <w:lvl w:ilvl="0">
      <w:start w:val="1"/>
      <w:numFmt w:val="bullet"/>
      <w:pStyle w:val="ListNumber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2C16E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1C166C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81A97"/>
    <w:multiLevelType w:val="singleLevel"/>
    <w:tmpl w:val="DFA0A246"/>
    <w:lvl w:ilvl="0">
      <w:start w:val="1"/>
      <w:numFmt w:val="bullet"/>
      <w:pStyle w:val="ListNumber5"/>
      <w:lvlText w:val=""/>
      <w:lvlJc w:val="left"/>
      <w:pPr>
        <w:tabs>
          <w:tab w:val="num" w:pos="514"/>
        </w:tabs>
        <w:ind w:left="514" w:hanging="248"/>
      </w:pPr>
      <w:rPr>
        <w:rFonts w:ascii="Symbol" w:hAnsi="Symbol" w:hint="default"/>
        <w:sz w:val="18"/>
      </w:rPr>
    </w:lvl>
  </w:abstractNum>
  <w:abstractNum w:abstractNumId="11" w15:restartNumberingAfterBreak="0">
    <w:nsid w:val="26641479"/>
    <w:multiLevelType w:val="multilevel"/>
    <w:tmpl w:val="0409001D"/>
    <w:styleLink w:val="Article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A844E81"/>
    <w:multiLevelType w:val="singleLevel"/>
    <w:tmpl w:val="6A6C3E70"/>
    <w:lvl w:ilvl="0">
      <w:start w:val="1"/>
      <w:numFmt w:val="bullet"/>
      <w:pStyle w:val="EOCBullet1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</w:abstractNum>
  <w:abstractNum w:abstractNumId="13" w15:restartNumberingAfterBreak="0">
    <w:nsid w:val="2FAD34BB"/>
    <w:multiLevelType w:val="multilevel"/>
    <w:tmpl w:val="0409001F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73"/>
    <w:rsid w:val="003C5297"/>
    <w:rsid w:val="0046125B"/>
    <w:rsid w:val="004C40DC"/>
    <w:rsid w:val="0095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6178F"/>
  <w15:chartTrackingRefBased/>
  <w15:docId w15:val="{A872188B-19C3-4A56-82C7-12DE74F2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3E69"/>
    <w:rPr>
      <w:rFonts w:ascii="Avenir 45 Book" w:hAnsi="Avenir 45 Book"/>
      <w:sz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qFormat/>
    <w:pPr>
      <w:keepNext/>
      <w:shd w:val="pct20" w:color="auto" w:fill="auto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360" w:lineRule="atLeast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DE7FC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E7FC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E7FC8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rora">
    <w:name w:val="aurora"/>
    <w:link w:val="NormalSanSerifChar"/>
    <w:locked/>
    <w:rsid w:val="00CF3E69"/>
    <w:rPr>
      <w:rFonts w:ascii="Arial" w:hAnsi="Arial"/>
      <w:color w:val="FF000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pPr>
      <w:spacing w:after="120"/>
    </w:pPr>
  </w:style>
  <w:style w:type="character" w:styleId="PageNumber">
    <w:name w:val="page number"/>
    <w:basedOn w:val="DefaultParagraphFont"/>
    <w:semiHidden/>
  </w:style>
  <w:style w:type="character" w:customStyle="1" w:styleId="NormalSanSerifChar">
    <w:name w:val="NormalSanSerif Char"/>
    <w:link w:val="aurora"/>
    <w:rsid w:val="00F65463"/>
    <w:rPr>
      <w:rFonts w:ascii="Arial" w:hAnsi="Arial"/>
      <w:color w:val="FF0000"/>
    </w:rPr>
  </w:style>
  <w:style w:type="paragraph" w:styleId="TOCHeading">
    <w:name w:val="TOC Heading"/>
    <w:basedOn w:val="Heading1"/>
    <w:next w:val="Normal"/>
    <w:uiPriority w:val="39"/>
    <w:qFormat/>
    <w:rsid w:val="00DE7FC8"/>
    <w:pPr>
      <w:spacing w:before="240" w:after="60"/>
      <w:outlineLvl w:val="9"/>
    </w:pPr>
    <w:rPr>
      <w:rFonts w:ascii="Calibri Light" w:hAnsi="Calibri Light"/>
      <w:bCs/>
      <w:caps w:val="0"/>
      <w:kern w:val="32"/>
      <w:sz w:val="32"/>
      <w:szCs w:val="32"/>
    </w:rPr>
  </w:style>
  <w:style w:type="paragraph" w:styleId="TOC9">
    <w:name w:val="toc 9"/>
    <w:basedOn w:val="Normal"/>
    <w:next w:val="Normal"/>
    <w:semiHidden/>
    <w:rsid w:val="00DE7FC8"/>
    <w:pPr>
      <w:ind w:left="1440"/>
    </w:pPr>
  </w:style>
  <w:style w:type="paragraph" w:styleId="TOC8">
    <w:name w:val="toc 8"/>
    <w:basedOn w:val="Normal"/>
    <w:next w:val="Normal"/>
    <w:semiHidden/>
    <w:rsid w:val="00DE7FC8"/>
    <w:pPr>
      <w:ind w:left="1260"/>
    </w:pPr>
  </w:style>
  <w:style w:type="paragraph" w:styleId="TOC7">
    <w:name w:val="toc 7"/>
    <w:basedOn w:val="Normal"/>
    <w:next w:val="Normal"/>
    <w:semiHidden/>
    <w:rsid w:val="00DE7FC8"/>
    <w:pPr>
      <w:ind w:left="1080"/>
    </w:pPr>
  </w:style>
  <w:style w:type="paragraph" w:styleId="TOC6">
    <w:name w:val="toc 6"/>
    <w:basedOn w:val="Normal"/>
    <w:next w:val="Normal"/>
    <w:semiHidden/>
    <w:rsid w:val="00DE7FC8"/>
    <w:pPr>
      <w:ind w:left="900"/>
    </w:pPr>
  </w:style>
  <w:style w:type="paragraph" w:styleId="TOC5">
    <w:name w:val="toc 5"/>
    <w:basedOn w:val="Normal"/>
    <w:next w:val="Normal"/>
    <w:semiHidden/>
    <w:rsid w:val="00DE7FC8"/>
    <w:pPr>
      <w:ind w:left="720"/>
    </w:pPr>
  </w:style>
  <w:style w:type="paragraph" w:styleId="TOC4">
    <w:name w:val="toc 4"/>
    <w:basedOn w:val="Normal"/>
    <w:next w:val="Normal"/>
    <w:semiHidden/>
    <w:rsid w:val="00DE7FC8"/>
    <w:pPr>
      <w:ind w:left="540"/>
    </w:pPr>
  </w:style>
  <w:style w:type="paragraph" w:styleId="TOC3">
    <w:name w:val="toc 3"/>
    <w:basedOn w:val="Normal"/>
    <w:next w:val="Normal"/>
    <w:semiHidden/>
    <w:rsid w:val="00DE7FC8"/>
    <w:pPr>
      <w:ind w:left="360"/>
    </w:pPr>
  </w:style>
  <w:style w:type="paragraph" w:styleId="TOC2">
    <w:name w:val="toc 2"/>
    <w:basedOn w:val="Normal"/>
    <w:next w:val="Normal"/>
    <w:semiHidden/>
    <w:rsid w:val="00DE7FC8"/>
    <w:pPr>
      <w:ind w:left="180"/>
    </w:pPr>
  </w:style>
  <w:style w:type="paragraph" w:styleId="TOC1">
    <w:name w:val="toc 1"/>
    <w:basedOn w:val="Normal"/>
    <w:next w:val="Normal"/>
    <w:semiHidden/>
    <w:rsid w:val="00DE7FC8"/>
  </w:style>
  <w:style w:type="paragraph" w:styleId="TOAHeading">
    <w:name w:val="toa heading"/>
    <w:basedOn w:val="Normal"/>
    <w:next w:val="Normal"/>
    <w:semiHidden/>
    <w:rsid w:val="00DE7FC8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E7FC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E7FC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ableofFigures">
    <w:name w:val="table of figures"/>
    <w:basedOn w:val="Normal"/>
    <w:next w:val="Normal"/>
    <w:semiHidden/>
    <w:rsid w:val="00DE7FC8"/>
  </w:style>
  <w:style w:type="paragraph" w:styleId="TableofAuthorities">
    <w:name w:val="table of authorities"/>
    <w:basedOn w:val="Normal"/>
    <w:next w:val="Normal"/>
    <w:semiHidden/>
    <w:rsid w:val="00DE7FC8"/>
    <w:pPr>
      <w:ind w:left="180" w:hanging="180"/>
    </w:pPr>
  </w:style>
  <w:style w:type="paragraph" w:styleId="Subtitle">
    <w:name w:val="Subtitle"/>
    <w:basedOn w:val="Normal"/>
    <w:next w:val="Normal"/>
    <w:link w:val="SubtitleChar"/>
    <w:qFormat/>
    <w:rsid w:val="00DE7FC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DE7FC8"/>
    <w:rPr>
      <w:rFonts w:ascii="Calibri Light" w:eastAsia="Times New Roman" w:hAnsi="Calibri Light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DE7FC8"/>
    <w:pPr>
      <w:ind w:left="4320"/>
    </w:pPr>
  </w:style>
  <w:style w:type="character" w:customStyle="1" w:styleId="SignatureChar">
    <w:name w:val="Signature Char"/>
    <w:link w:val="Signature"/>
    <w:rsid w:val="00DE7FC8"/>
    <w:rPr>
      <w:rFonts w:ascii="Avenir 45 Book" w:hAnsi="Avenir 45 Book"/>
      <w:sz w:val="18"/>
    </w:rPr>
  </w:style>
  <w:style w:type="paragraph" w:styleId="Salutation">
    <w:name w:val="Salutation"/>
    <w:basedOn w:val="Normal"/>
    <w:next w:val="Normal"/>
    <w:link w:val="SalutationChar"/>
    <w:semiHidden/>
    <w:rsid w:val="00DE7FC8"/>
  </w:style>
  <w:style w:type="character" w:customStyle="1" w:styleId="SalutationChar">
    <w:name w:val="Salutation Char"/>
    <w:link w:val="Salutation"/>
    <w:rsid w:val="00DE7FC8"/>
    <w:rPr>
      <w:rFonts w:ascii="Avenir 45 Book" w:hAnsi="Avenir 45 Book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DE7FC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E7FC8"/>
    <w:rPr>
      <w:rFonts w:ascii="Avenir 45 Book" w:hAnsi="Avenir 45 Book"/>
      <w:i/>
      <w:iCs/>
      <w:color w:val="404040"/>
      <w:sz w:val="18"/>
    </w:rPr>
  </w:style>
  <w:style w:type="paragraph" w:styleId="PlainText">
    <w:name w:val="Plain Text"/>
    <w:basedOn w:val="Normal"/>
    <w:link w:val="PlainTextChar"/>
    <w:semiHidden/>
    <w:rsid w:val="00DE7FC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DE7FC8"/>
    <w:rPr>
      <w:rFonts w:ascii="Courier New" w:hAnsi="Courier New" w:cs="Courier New"/>
    </w:rPr>
  </w:style>
  <w:style w:type="paragraph" w:styleId="NoteHeading">
    <w:name w:val="Note Heading"/>
    <w:basedOn w:val="Normal"/>
    <w:next w:val="Normal"/>
    <w:link w:val="NoteHeadingChar"/>
    <w:semiHidden/>
    <w:rsid w:val="00DE7FC8"/>
  </w:style>
  <w:style w:type="character" w:customStyle="1" w:styleId="NoteHeadingChar">
    <w:name w:val="Note Heading Char"/>
    <w:link w:val="NoteHeading"/>
    <w:rsid w:val="00DE7FC8"/>
    <w:rPr>
      <w:rFonts w:ascii="Avenir 45 Book" w:hAnsi="Avenir 45 Book"/>
      <w:sz w:val="18"/>
    </w:rPr>
  </w:style>
  <w:style w:type="paragraph" w:styleId="NormalIndent">
    <w:name w:val="Normal Indent"/>
    <w:basedOn w:val="Normal"/>
    <w:semiHidden/>
    <w:rsid w:val="00DE7FC8"/>
    <w:pPr>
      <w:ind w:left="720"/>
    </w:pPr>
  </w:style>
  <w:style w:type="paragraph" w:styleId="NormalWeb">
    <w:name w:val="Normal (Web)"/>
    <w:basedOn w:val="Normal"/>
    <w:semiHidden/>
    <w:rsid w:val="00DE7FC8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E7FC8"/>
    <w:rPr>
      <w:rFonts w:ascii="Avenir 45 Book" w:hAnsi="Avenir 45 Book"/>
      <w:sz w:val="18"/>
    </w:rPr>
  </w:style>
  <w:style w:type="paragraph" w:styleId="MessageHeader">
    <w:name w:val="Message Header"/>
    <w:basedOn w:val="Normal"/>
    <w:link w:val="MessageHeaderChar"/>
    <w:semiHidden/>
    <w:rsid w:val="00DE7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DE7FC8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MacroText">
    <w:name w:val="macro"/>
    <w:link w:val="MacroTextChar"/>
    <w:semiHidden/>
    <w:rsid w:val="00DE7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DE7FC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E7FC8"/>
    <w:pPr>
      <w:ind w:left="720"/>
    </w:pPr>
  </w:style>
  <w:style w:type="paragraph" w:styleId="ListNumber5">
    <w:name w:val="List Number 5"/>
    <w:basedOn w:val="Normal"/>
    <w:semiHidden/>
    <w:rsid w:val="00DE7FC8"/>
    <w:pPr>
      <w:numPr>
        <w:numId w:val="2"/>
      </w:numPr>
      <w:contextualSpacing/>
    </w:pPr>
  </w:style>
  <w:style w:type="paragraph" w:styleId="ListNumber4">
    <w:name w:val="List Number 4"/>
    <w:basedOn w:val="Normal"/>
    <w:semiHidden/>
    <w:rsid w:val="00DE7FC8"/>
    <w:pPr>
      <w:numPr>
        <w:numId w:val="3"/>
      </w:numPr>
      <w:contextualSpacing/>
    </w:pPr>
  </w:style>
  <w:style w:type="paragraph" w:styleId="ListNumber3">
    <w:name w:val="List Number 3"/>
    <w:basedOn w:val="Normal"/>
    <w:semiHidden/>
    <w:rsid w:val="00DE7FC8"/>
    <w:pPr>
      <w:numPr>
        <w:numId w:val="4"/>
      </w:numPr>
      <w:contextualSpacing/>
    </w:pPr>
  </w:style>
  <w:style w:type="paragraph" w:styleId="ListNumber2">
    <w:name w:val="List Number 2"/>
    <w:basedOn w:val="Normal"/>
    <w:semiHidden/>
    <w:rsid w:val="00DE7FC8"/>
    <w:pPr>
      <w:numPr>
        <w:numId w:val="5"/>
      </w:numPr>
      <w:contextualSpacing/>
    </w:pPr>
  </w:style>
  <w:style w:type="paragraph" w:styleId="ListNumber">
    <w:name w:val="List Number"/>
    <w:basedOn w:val="Normal"/>
    <w:semiHidden/>
    <w:rsid w:val="00DE7FC8"/>
    <w:pPr>
      <w:numPr>
        <w:numId w:val="6"/>
      </w:numPr>
      <w:contextualSpacing/>
    </w:pPr>
  </w:style>
  <w:style w:type="paragraph" w:styleId="ListContinue5">
    <w:name w:val="List Continue 5"/>
    <w:basedOn w:val="Normal"/>
    <w:semiHidden/>
    <w:rsid w:val="00DE7FC8"/>
    <w:pPr>
      <w:spacing w:after="120"/>
      <w:ind w:left="1800"/>
      <w:contextualSpacing/>
    </w:pPr>
  </w:style>
  <w:style w:type="paragraph" w:styleId="ListContinue4">
    <w:name w:val="List Continue 4"/>
    <w:basedOn w:val="Normal"/>
    <w:semiHidden/>
    <w:rsid w:val="00DE7FC8"/>
    <w:pPr>
      <w:spacing w:after="120"/>
      <w:ind w:left="1440"/>
      <w:contextualSpacing/>
    </w:pPr>
  </w:style>
  <w:style w:type="paragraph" w:styleId="ListContinue3">
    <w:name w:val="List Continue 3"/>
    <w:basedOn w:val="Normal"/>
    <w:semiHidden/>
    <w:rsid w:val="00DE7FC8"/>
    <w:pPr>
      <w:spacing w:after="120"/>
      <w:ind w:left="1080"/>
      <w:contextualSpacing/>
    </w:pPr>
  </w:style>
  <w:style w:type="paragraph" w:styleId="ListContinue2">
    <w:name w:val="List Continue 2"/>
    <w:basedOn w:val="Normal"/>
    <w:semiHidden/>
    <w:rsid w:val="00DE7FC8"/>
    <w:pPr>
      <w:spacing w:after="120"/>
      <w:ind w:left="720"/>
      <w:contextualSpacing/>
    </w:pPr>
  </w:style>
  <w:style w:type="paragraph" w:styleId="ListContinue">
    <w:name w:val="List Continue"/>
    <w:basedOn w:val="Normal"/>
    <w:semiHidden/>
    <w:rsid w:val="00DE7FC8"/>
    <w:pPr>
      <w:spacing w:after="120"/>
      <w:ind w:left="360"/>
      <w:contextualSpacing/>
    </w:pPr>
  </w:style>
  <w:style w:type="paragraph" w:styleId="ListBullet5">
    <w:name w:val="List Bullet 5"/>
    <w:basedOn w:val="Normal"/>
    <w:semiHidden/>
    <w:rsid w:val="00DE7FC8"/>
    <w:pPr>
      <w:numPr>
        <w:numId w:val="7"/>
      </w:numPr>
      <w:contextualSpacing/>
    </w:pPr>
  </w:style>
  <w:style w:type="paragraph" w:styleId="ListBullet4">
    <w:name w:val="List Bullet 4"/>
    <w:basedOn w:val="Normal"/>
    <w:semiHidden/>
    <w:rsid w:val="00DE7FC8"/>
    <w:pPr>
      <w:numPr>
        <w:numId w:val="8"/>
      </w:numPr>
      <w:contextualSpacing/>
    </w:pPr>
  </w:style>
  <w:style w:type="paragraph" w:styleId="ListBullet3">
    <w:name w:val="List Bullet 3"/>
    <w:basedOn w:val="Normal"/>
    <w:semiHidden/>
    <w:rsid w:val="00DE7FC8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rsid w:val="00DE7FC8"/>
    <w:pPr>
      <w:numPr>
        <w:numId w:val="10"/>
      </w:numPr>
      <w:contextualSpacing/>
    </w:pPr>
  </w:style>
  <w:style w:type="paragraph" w:styleId="ListBullet">
    <w:name w:val="List Bullet"/>
    <w:basedOn w:val="Normal"/>
    <w:semiHidden/>
    <w:rsid w:val="00DE7FC8"/>
    <w:pPr>
      <w:numPr>
        <w:numId w:val="11"/>
      </w:numPr>
      <w:contextualSpacing/>
    </w:pPr>
  </w:style>
  <w:style w:type="paragraph" w:styleId="List5">
    <w:name w:val="List 5"/>
    <w:basedOn w:val="Normal"/>
    <w:semiHidden/>
    <w:rsid w:val="00DE7FC8"/>
    <w:pPr>
      <w:ind w:left="1800" w:hanging="360"/>
      <w:contextualSpacing/>
    </w:pPr>
  </w:style>
  <w:style w:type="paragraph" w:styleId="List4">
    <w:name w:val="List 4"/>
    <w:basedOn w:val="Normal"/>
    <w:semiHidden/>
    <w:rsid w:val="00DE7FC8"/>
    <w:pPr>
      <w:ind w:left="1440" w:hanging="360"/>
      <w:contextualSpacing/>
    </w:pPr>
  </w:style>
  <w:style w:type="paragraph" w:styleId="List3">
    <w:name w:val="List 3"/>
    <w:basedOn w:val="Normal"/>
    <w:semiHidden/>
    <w:rsid w:val="00DE7FC8"/>
    <w:pPr>
      <w:ind w:left="1080" w:hanging="360"/>
      <w:contextualSpacing/>
    </w:pPr>
  </w:style>
  <w:style w:type="paragraph" w:styleId="List2">
    <w:name w:val="List 2"/>
    <w:basedOn w:val="Normal"/>
    <w:semiHidden/>
    <w:rsid w:val="00DE7FC8"/>
    <w:pPr>
      <w:ind w:left="720" w:hanging="360"/>
      <w:contextualSpacing/>
    </w:pPr>
  </w:style>
  <w:style w:type="paragraph" w:styleId="List">
    <w:name w:val="List"/>
    <w:basedOn w:val="Normal"/>
    <w:semiHidden/>
    <w:rsid w:val="00DE7FC8"/>
    <w:pPr>
      <w:ind w:left="360" w:hanging="36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FC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DE7FC8"/>
    <w:rPr>
      <w:rFonts w:ascii="Avenir 45 Book" w:hAnsi="Avenir 45 Book"/>
      <w:i/>
      <w:iCs/>
      <w:color w:val="5B9BD5"/>
      <w:sz w:val="18"/>
    </w:rPr>
  </w:style>
  <w:style w:type="paragraph" w:styleId="Index1">
    <w:name w:val="index 1"/>
    <w:basedOn w:val="Normal"/>
    <w:next w:val="Normal"/>
    <w:semiHidden/>
    <w:rsid w:val="00DE7FC8"/>
    <w:pPr>
      <w:ind w:left="180" w:hanging="180"/>
    </w:pPr>
  </w:style>
  <w:style w:type="paragraph" w:styleId="IndexHeading">
    <w:name w:val="index heading"/>
    <w:basedOn w:val="Normal"/>
    <w:next w:val="Index1"/>
    <w:semiHidden/>
    <w:rsid w:val="00DE7FC8"/>
    <w:rPr>
      <w:rFonts w:ascii="Calibri Light" w:hAnsi="Calibri Light"/>
      <w:b/>
      <w:bCs/>
    </w:rPr>
  </w:style>
  <w:style w:type="paragraph" w:styleId="Index9">
    <w:name w:val="index 9"/>
    <w:basedOn w:val="Normal"/>
    <w:next w:val="Normal"/>
    <w:semiHidden/>
    <w:rsid w:val="00DE7FC8"/>
    <w:pPr>
      <w:ind w:left="1620" w:hanging="180"/>
    </w:pPr>
  </w:style>
  <w:style w:type="paragraph" w:styleId="Index8">
    <w:name w:val="index 8"/>
    <w:basedOn w:val="Normal"/>
    <w:next w:val="Normal"/>
    <w:semiHidden/>
    <w:rsid w:val="00DE7FC8"/>
    <w:pPr>
      <w:ind w:left="1440" w:hanging="180"/>
    </w:pPr>
  </w:style>
  <w:style w:type="paragraph" w:styleId="Index7">
    <w:name w:val="index 7"/>
    <w:basedOn w:val="Normal"/>
    <w:next w:val="Normal"/>
    <w:semiHidden/>
    <w:rsid w:val="00DE7FC8"/>
    <w:pPr>
      <w:ind w:left="1260" w:hanging="180"/>
    </w:pPr>
  </w:style>
  <w:style w:type="paragraph" w:styleId="Index6">
    <w:name w:val="index 6"/>
    <w:basedOn w:val="Normal"/>
    <w:next w:val="Normal"/>
    <w:semiHidden/>
    <w:rsid w:val="00DE7FC8"/>
    <w:pPr>
      <w:ind w:left="1080" w:hanging="180"/>
    </w:pPr>
  </w:style>
  <w:style w:type="paragraph" w:styleId="Index5">
    <w:name w:val="index 5"/>
    <w:basedOn w:val="Normal"/>
    <w:next w:val="Normal"/>
    <w:semiHidden/>
    <w:rsid w:val="00DE7FC8"/>
    <w:pPr>
      <w:ind w:left="900" w:hanging="180"/>
    </w:pPr>
  </w:style>
  <w:style w:type="paragraph" w:styleId="Index4">
    <w:name w:val="index 4"/>
    <w:basedOn w:val="Normal"/>
    <w:next w:val="Normal"/>
    <w:semiHidden/>
    <w:rsid w:val="00DE7FC8"/>
    <w:pPr>
      <w:ind w:left="720" w:hanging="180"/>
    </w:pPr>
  </w:style>
  <w:style w:type="paragraph" w:styleId="Index3">
    <w:name w:val="index 3"/>
    <w:basedOn w:val="Normal"/>
    <w:next w:val="Normal"/>
    <w:semiHidden/>
    <w:rsid w:val="00DE7FC8"/>
    <w:pPr>
      <w:ind w:left="540" w:hanging="180"/>
    </w:pPr>
  </w:style>
  <w:style w:type="paragraph" w:styleId="Index2">
    <w:name w:val="index 2"/>
    <w:basedOn w:val="Normal"/>
    <w:next w:val="Normal"/>
    <w:semiHidden/>
    <w:rsid w:val="00DE7FC8"/>
    <w:pPr>
      <w:ind w:left="360" w:hanging="180"/>
    </w:pPr>
  </w:style>
  <w:style w:type="paragraph" w:styleId="HTMLPreformatted">
    <w:name w:val="HTML Preformatted"/>
    <w:basedOn w:val="Normal"/>
    <w:link w:val="HTMLPreformattedChar"/>
    <w:semiHidden/>
    <w:rsid w:val="00DE7FC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DE7FC8"/>
    <w:rPr>
      <w:rFonts w:ascii="Courier New" w:hAnsi="Courier New" w:cs="Courier New"/>
    </w:rPr>
  </w:style>
  <w:style w:type="paragraph" w:styleId="HTMLAddress">
    <w:name w:val="HTML Address"/>
    <w:basedOn w:val="Normal"/>
    <w:link w:val="HTMLAddressChar"/>
    <w:semiHidden/>
    <w:rsid w:val="00DE7FC8"/>
    <w:rPr>
      <w:i/>
      <w:iCs/>
    </w:rPr>
  </w:style>
  <w:style w:type="character" w:customStyle="1" w:styleId="HTMLAddressChar">
    <w:name w:val="HTML Address Char"/>
    <w:link w:val="HTMLAddress"/>
    <w:rsid w:val="00DE7FC8"/>
    <w:rPr>
      <w:rFonts w:ascii="Avenir 45 Book" w:hAnsi="Avenir 45 Book"/>
      <w:i/>
      <w:iCs/>
      <w:sz w:val="18"/>
    </w:rPr>
  </w:style>
  <w:style w:type="character" w:customStyle="1" w:styleId="Heading9Char">
    <w:name w:val="Heading 9 Char"/>
    <w:link w:val="Heading9"/>
    <w:semiHidden/>
    <w:rsid w:val="00DE7FC8"/>
    <w:rPr>
      <w:rFonts w:ascii="Calibri Light" w:eastAsia="Times New Roman" w:hAnsi="Calibri Light" w:cs="Times New Roman"/>
      <w:sz w:val="22"/>
      <w:szCs w:val="22"/>
    </w:rPr>
  </w:style>
  <w:style w:type="character" w:customStyle="1" w:styleId="Heading8Char">
    <w:name w:val="Heading 8 Char"/>
    <w:link w:val="Heading8"/>
    <w:semiHidden/>
    <w:rsid w:val="00DE7F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7Char">
    <w:name w:val="Heading 7 Char"/>
    <w:link w:val="Heading7"/>
    <w:semiHidden/>
    <w:rsid w:val="00DE7FC8"/>
    <w:rPr>
      <w:rFonts w:ascii="Calibri" w:eastAsia="Times New Roman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DE7FC8"/>
    <w:rPr>
      <w:sz w:val="20"/>
    </w:rPr>
  </w:style>
  <w:style w:type="character" w:customStyle="1" w:styleId="FootnoteTextChar">
    <w:name w:val="Footnote Text Char"/>
    <w:link w:val="FootnoteText"/>
    <w:rsid w:val="00DE7FC8"/>
    <w:rPr>
      <w:rFonts w:ascii="Avenir 45 Book" w:hAnsi="Avenir 45 Book"/>
    </w:rPr>
  </w:style>
  <w:style w:type="paragraph" w:styleId="EnvelopeReturn">
    <w:name w:val="envelope return"/>
    <w:basedOn w:val="Normal"/>
    <w:semiHidden/>
    <w:rsid w:val="00DE7FC8"/>
    <w:rPr>
      <w:rFonts w:ascii="Calibri Light" w:hAnsi="Calibri Light"/>
      <w:sz w:val="20"/>
    </w:rPr>
  </w:style>
  <w:style w:type="paragraph" w:styleId="EnvelopeAddress">
    <w:name w:val="envelope address"/>
    <w:basedOn w:val="Normal"/>
    <w:semiHidden/>
    <w:rsid w:val="00DE7FC8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DE7FC8"/>
    <w:rPr>
      <w:sz w:val="20"/>
    </w:rPr>
  </w:style>
  <w:style w:type="character" w:customStyle="1" w:styleId="EndnoteTextChar">
    <w:name w:val="Endnote Text Char"/>
    <w:link w:val="EndnoteText"/>
    <w:rsid w:val="00DE7FC8"/>
    <w:rPr>
      <w:rFonts w:ascii="Avenir 45 Book" w:hAnsi="Avenir 45 Book"/>
    </w:rPr>
  </w:style>
  <w:style w:type="paragraph" w:styleId="E-mailSignature">
    <w:name w:val="E-mail Signature"/>
    <w:basedOn w:val="Normal"/>
    <w:link w:val="E-mailSignatureChar"/>
    <w:semiHidden/>
    <w:rsid w:val="00DE7FC8"/>
  </w:style>
  <w:style w:type="character" w:customStyle="1" w:styleId="E-mailSignatureChar">
    <w:name w:val="E-mail Signature Char"/>
    <w:link w:val="E-mailSignature"/>
    <w:rsid w:val="00DE7FC8"/>
    <w:rPr>
      <w:rFonts w:ascii="Avenir 45 Book" w:hAnsi="Avenir 45 Book"/>
      <w:sz w:val="18"/>
    </w:rPr>
  </w:style>
  <w:style w:type="paragraph" w:styleId="DocumentMap">
    <w:name w:val="Document Map"/>
    <w:basedOn w:val="Normal"/>
    <w:link w:val="DocumentMapChar"/>
    <w:semiHidden/>
    <w:rsid w:val="00DE7FC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DE7FC8"/>
    <w:rPr>
      <w:rFonts w:ascii="Segoe UI" w:hAnsi="Segoe UI" w:cs="Segoe UI"/>
      <w:sz w:val="16"/>
      <w:szCs w:val="16"/>
    </w:rPr>
  </w:style>
  <w:style w:type="paragraph" w:styleId="Date">
    <w:name w:val="Date"/>
    <w:basedOn w:val="Normal"/>
    <w:next w:val="Normal"/>
    <w:link w:val="DateChar"/>
    <w:semiHidden/>
    <w:rsid w:val="00DE7FC8"/>
  </w:style>
  <w:style w:type="character" w:customStyle="1" w:styleId="DateChar">
    <w:name w:val="Date Char"/>
    <w:link w:val="Date"/>
    <w:rsid w:val="00DE7FC8"/>
    <w:rPr>
      <w:rFonts w:ascii="Avenir 45 Book" w:hAnsi="Avenir 45 Book"/>
      <w:sz w:val="18"/>
    </w:rPr>
  </w:style>
  <w:style w:type="paragraph" w:styleId="CommentText">
    <w:name w:val="annotation text"/>
    <w:basedOn w:val="Normal"/>
    <w:link w:val="CommentTextChar"/>
    <w:semiHidden/>
    <w:rsid w:val="00DE7FC8"/>
    <w:rPr>
      <w:sz w:val="20"/>
    </w:rPr>
  </w:style>
  <w:style w:type="character" w:customStyle="1" w:styleId="CommentTextChar">
    <w:name w:val="Comment Text Char"/>
    <w:link w:val="CommentText"/>
    <w:rsid w:val="00DE7FC8"/>
    <w:rPr>
      <w:rFonts w:ascii="Avenir 45 Book" w:hAnsi="Avenir 45 Boo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E7FC8"/>
    <w:rPr>
      <w:b/>
      <w:bCs/>
    </w:rPr>
  </w:style>
  <w:style w:type="character" w:customStyle="1" w:styleId="CommentSubjectChar">
    <w:name w:val="Comment Subject Char"/>
    <w:link w:val="CommentSubject"/>
    <w:rsid w:val="00DE7FC8"/>
    <w:rPr>
      <w:rFonts w:ascii="Avenir 45 Book" w:hAnsi="Avenir 45 Book"/>
      <w:b/>
      <w:bCs/>
    </w:rPr>
  </w:style>
  <w:style w:type="paragraph" w:styleId="Closing">
    <w:name w:val="Closing"/>
    <w:basedOn w:val="Normal"/>
    <w:link w:val="ClosingChar"/>
    <w:semiHidden/>
    <w:rsid w:val="00DE7FC8"/>
    <w:pPr>
      <w:ind w:left="4320"/>
    </w:pPr>
  </w:style>
  <w:style w:type="character" w:customStyle="1" w:styleId="ClosingChar">
    <w:name w:val="Closing Char"/>
    <w:link w:val="Closing"/>
    <w:rsid w:val="00DE7FC8"/>
    <w:rPr>
      <w:rFonts w:ascii="Avenir 45 Book" w:hAnsi="Avenir 45 Book"/>
      <w:sz w:val="18"/>
    </w:rPr>
  </w:style>
  <w:style w:type="paragraph" w:styleId="Caption">
    <w:name w:val="caption"/>
    <w:basedOn w:val="Normal"/>
    <w:next w:val="Normal"/>
    <w:qFormat/>
    <w:rsid w:val="00DE7FC8"/>
    <w:rPr>
      <w:b/>
      <w:bCs/>
      <w:sz w:val="20"/>
    </w:rPr>
  </w:style>
  <w:style w:type="paragraph" w:styleId="BodyTextIndent3">
    <w:name w:val="Body Text Indent 3"/>
    <w:basedOn w:val="Normal"/>
    <w:link w:val="BodyTextIndent3Char"/>
    <w:semiHidden/>
    <w:rsid w:val="00DE7F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E7FC8"/>
    <w:rPr>
      <w:rFonts w:ascii="Avenir 45 Book" w:hAnsi="Avenir 45 Book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DE7FC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E7FC8"/>
    <w:rPr>
      <w:rFonts w:ascii="Avenir 45 Book" w:hAnsi="Avenir 45 Book"/>
      <w:sz w:val="18"/>
    </w:rPr>
  </w:style>
  <w:style w:type="paragraph" w:styleId="BodyTextIndent">
    <w:name w:val="Body Text Indent"/>
    <w:basedOn w:val="Normal"/>
    <w:link w:val="BodyTextIndentChar"/>
    <w:semiHidden/>
    <w:rsid w:val="00DE7FC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E7FC8"/>
    <w:rPr>
      <w:rFonts w:ascii="Avenir 45 Book" w:hAnsi="Avenir 45 Book"/>
      <w:sz w:val="18"/>
    </w:rPr>
  </w:style>
  <w:style w:type="paragraph" w:styleId="BodyTextFirstIndent2">
    <w:name w:val="Body Text First Indent 2"/>
    <w:basedOn w:val="BodyTextIndent"/>
    <w:link w:val="BodyTextFirstIndent2Char"/>
    <w:semiHidden/>
    <w:rsid w:val="00DE7FC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E7FC8"/>
    <w:rPr>
      <w:rFonts w:ascii="Avenir 45 Book" w:hAnsi="Avenir 45 Book"/>
      <w:sz w:val="18"/>
    </w:rPr>
  </w:style>
  <w:style w:type="paragraph" w:styleId="BodyTextFirstIndent">
    <w:name w:val="Body Text First Indent"/>
    <w:basedOn w:val="BodyText"/>
    <w:link w:val="BodyTextFirstIndentChar"/>
    <w:semiHidden/>
    <w:rsid w:val="00DE7FC8"/>
    <w:pPr>
      <w:ind w:firstLine="210"/>
    </w:pPr>
  </w:style>
  <w:style w:type="character" w:customStyle="1" w:styleId="BodyTextChar">
    <w:name w:val="Body Text Char"/>
    <w:link w:val="BodyText"/>
    <w:rsid w:val="00DE7FC8"/>
    <w:rPr>
      <w:rFonts w:ascii="Avenir 45 Book" w:hAnsi="Avenir 45 Book"/>
      <w:sz w:val="18"/>
    </w:rPr>
  </w:style>
  <w:style w:type="character" w:customStyle="1" w:styleId="BodyTextFirstIndentChar">
    <w:name w:val="Body Text First Indent Char"/>
    <w:basedOn w:val="BodyTextChar"/>
    <w:link w:val="BodyTextFirstIndent"/>
    <w:rsid w:val="00DE7FC8"/>
    <w:rPr>
      <w:rFonts w:ascii="Avenir 45 Book" w:hAnsi="Avenir 45 Book"/>
      <w:sz w:val="18"/>
    </w:rPr>
  </w:style>
  <w:style w:type="paragraph" w:styleId="BodyText3">
    <w:name w:val="Body Text 3"/>
    <w:basedOn w:val="Normal"/>
    <w:link w:val="BodyText3Char"/>
    <w:semiHidden/>
    <w:rsid w:val="00DE7FC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E7FC8"/>
    <w:rPr>
      <w:rFonts w:ascii="Avenir 45 Book" w:hAnsi="Avenir 45 Book"/>
      <w:sz w:val="16"/>
      <w:szCs w:val="16"/>
    </w:rPr>
  </w:style>
  <w:style w:type="paragraph" w:styleId="BodyText2">
    <w:name w:val="Body Text 2"/>
    <w:basedOn w:val="Normal"/>
    <w:link w:val="BodyText2Char"/>
    <w:semiHidden/>
    <w:rsid w:val="00DE7FC8"/>
    <w:pPr>
      <w:spacing w:after="120" w:line="480" w:lineRule="auto"/>
    </w:pPr>
  </w:style>
  <w:style w:type="character" w:customStyle="1" w:styleId="BodyText2Char">
    <w:name w:val="Body Text 2 Char"/>
    <w:link w:val="BodyText2"/>
    <w:rsid w:val="00DE7FC8"/>
    <w:rPr>
      <w:rFonts w:ascii="Avenir 45 Book" w:hAnsi="Avenir 45 Book"/>
      <w:sz w:val="18"/>
    </w:rPr>
  </w:style>
  <w:style w:type="paragraph" w:styleId="BlockText">
    <w:name w:val="Block Text"/>
    <w:basedOn w:val="Normal"/>
    <w:semiHidden/>
    <w:rsid w:val="00DE7FC8"/>
    <w:pPr>
      <w:spacing w:after="120"/>
      <w:ind w:left="1440" w:right="1440"/>
    </w:pPr>
  </w:style>
  <w:style w:type="paragraph" w:styleId="Bibliography">
    <w:name w:val="Bibliography"/>
    <w:basedOn w:val="Normal"/>
    <w:next w:val="Normal"/>
    <w:uiPriority w:val="37"/>
    <w:semiHidden/>
    <w:unhideWhenUsed/>
    <w:rsid w:val="00DE7FC8"/>
  </w:style>
  <w:style w:type="paragraph" w:styleId="BalloonText">
    <w:name w:val="Balloon Text"/>
    <w:basedOn w:val="Normal"/>
    <w:link w:val="BalloonTextChar"/>
    <w:semiHidden/>
    <w:rsid w:val="00DE7FC8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DE7FC8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Pr>
      <w:sz w:val="16"/>
    </w:rPr>
  </w:style>
  <w:style w:type="table" w:styleId="TableGrid">
    <w:name w:val="Table Grid"/>
    <w:basedOn w:val="TableNormal"/>
    <w:rsid w:val="004A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roraTAG">
    <w:name w:val="auroraTAG"/>
    <w:qFormat/>
    <w:locked/>
    <w:rsid w:val="001773EB"/>
    <w:rPr>
      <w:rFonts w:ascii="Arial" w:hAnsi="Arial"/>
      <w:b/>
      <w:i/>
      <w:color w:val="008000"/>
      <w:sz w:val="18"/>
      <w:szCs w:val="12"/>
    </w:rPr>
  </w:style>
  <w:style w:type="numbering" w:styleId="111111">
    <w:name w:val="Outline List 2"/>
    <w:basedOn w:val="NoList"/>
    <w:semiHidden/>
    <w:rsid w:val="002060FA"/>
    <w:pPr>
      <w:numPr>
        <w:numId w:val="12"/>
      </w:numPr>
    </w:pPr>
  </w:style>
  <w:style w:type="numbering" w:styleId="1ai">
    <w:name w:val="Outline List 1"/>
    <w:basedOn w:val="NoList"/>
    <w:semiHidden/>
    <w:rsid w:val="002060FA"/>
    <w:pPr>
      <w:numPr>
        <w:numId w:val="13"/>
      </w:numPr>
    </w:pPr>
  </w:style>
  <w:style w:type="numbering" w:styleId="ArticleSection">
    <w:name w:val="Outline List 3"/>
    <w:basedOn w:val="NoList"/>
    <w:semiHidden/>
    <w:rsid w:val="002060FA"/>
    <w:pPr>
      <w:numPr>
        <w:numId w:val="14"/>
      </w:numPr>
    </w:pPr>
  </w:style>
  <w:style w:type="character" w:styleId="Emphasis">
    <w:name w:val="Emphasis"/>
    <w:qFormat/>
    <w:rsid w:val="00001F80"/>
    <w:rPr>
      <w:i/>
      <w:iCs/>
    </w:rPr>
  </w:style>
  <w:style w:type="character" w:styleId="FollowedHyperlink">
    <w:name w:val="FollowedHyperlink"/>
    <w:semiHidden/>
    <w:rsid w:val="00001F80"/>
    <w:rPr>
      <w:color w:val="800080"/>
      <w:u w:val="single"/>
    </w:rPr>
  </w:style>
  <w:style w:type="character" w:styleId="HTMLAcronym">
    <w:name w:val="HTML Acronym"/>
    <w:basedOn w:val="DefaultParagraphFont"/>
    <w:semiHidden/>
    <w:rsid w:val="00001F80"/>
  </w:style>
  <w:style w:type="character" w:styleId="HTMLCite">
    <w:name w:val="HTML Cite"/>
    <w:semiHidden/>
    <w:rsid w:val="00001F80"/>
    <w:rPr>
      <w:i/>
      <w:iCs/>
    </w:rPr>
  </w:style>
  <w:style w:type="character" w:styleId="HTMLCode">
    <w:name w:val="HTML Code"/>
    <w:semiHidden/>
    <w:rsid w:val="00001F80"/>
    <w:rPr>
      <w:rFonts w:ascii="Courier New" w:hAnsi="Courier New" w:cs="Wingdings"/>
      <w:sz w:val="20"/>
      <w:szCs w:val="20"/>
    </w:rPr>
  </w:style>
  <w:style w:type="character" w:styleId="HTMLDefinition">
    <w:name w:val="HTML Definition"/>
    <w:semiHidden/>
    <w:rsid w:val="00001F80"/>
    <w:rPr>
      <w:i/>
      <w:iCs/>
    </w:rPr>
  </w:style>
  <w:style w:type="character" w:styleId="HTMLKeyboard">
    <w:name w:val="HTML Keyboard"/>
    <w:semiHidden/>
    <w:rsid w:val="00001F80"/>
    <w:rPr>
      <w:rFonts w:ascii="Courier New" w:hAnsi="Courier New" w:cs="Wingdings"/>
      <w:sz w:val="20"/>
      <w:szCs w:val="20"/>
    </w:rPr>
  </w:style>
  <w:style w:type="character" w:styleId="HTMLSample">
    <w:name w:val="HTML Sample"/>
    <w:semiHidden/>
    <w:rsid w:val="00001F80"/>
    <w:rPr>
      <w:rFonts w:ascii="Courier New" w:hAnsi="Courier New" w:cs="Wingdings"/>
    </w:rPr>
  </w:style>
  <w:style w:type="character" w:styleId="HTMLTypewriter">
    <w:name w:val="HTML Typewriter"/>
    <w:semiHidden/>
    <w:rsid w:val="00001F80"/>
    <w:rPr>
      <w:rFonts w:ascii="Courier New" w:hAnsi="Courier New" w:cs="Wingdings"/>
      <w:sz w:val="20"/>
      <w:szCs w:val="20"/>
    </w:rPr>
  </w:style>
  <w:style w:type="character" w:styleId="HTMLVariable">
    <w:name w:val="HTML Variable"/>
    <w:semiHidden/>
    <w:rsid w:val="00001F80"/>
    <w:rPr>
      <w:i/>
      <w:iCs/>
    </w:rPr>
  </w:style>
  <w:style w:type="character" w:styleId="Hyperlink">
    <w:name w:val="Hyperlink"/>
    <w:semiHidden/>
    <w:rsid w:val="00001F80"/>
    <w:rPr>
      <w:color w:val="0000FF"/>
      <w:u w:val="single"/>
    </w:rPr>
  </w:style>
  <w:style w:type="character" w:styleId="LineNumber">
    <w:name w:val="line number"/>
    <w:basedOn w:val="DefaultParagraphFont"/>
    <w:semiHidden/>
    <w:rsid w:val="00001F80"/>
  </w:style>
  <w:style w:type="character" w:styleId="Strong">
    <w:name w:val="Strong"/>
    <w:qFormat/>
    <w:rsid w:val="00001F80"/>
    <w:rPr>
      <w:b/>
      <w:bCs/>
    </w:rPr>
  </w:style>
  <w:style w:type="table" w:styleId="Table3Deffects1">
    <w:name w:val="Table 3D effects 1"/>
    <w:basedOn w:val="TableNormal"/>
    <w:semiHidden/>
    <w:rsid w:val="00001F80"/>
    <w:pPr>
      <w:spacing w:before="20" w:line="252" w:lineRule="auto"/>
    </w:pPr>
    <w:tblPr/>
    <w:tcPr>
      <w:shd w:val="solid" w:color="C0C0C0" w:fill="FFFFFF"/>
    </w:tcPr>
    <w:tblStylePr w:type="firstRow">
      <w:rPr>
        <w:bCs/>
        <w:color w:val="800080"/>
      </w:r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01F80"/>
    <w:pPr>
      <w:spacing w:before="20" w:line="252" w:lineRule="auto"/>
    </w:pPr>
    <w:tblPr>
      <w:tblStyleRowBandSize w:val="1"/>
    </w:tblPr>
    <w:tcPr>
      <w:shd w:val="solid" w:color="C0C0C0" w:fill="FFFFFF"/>
    </w:tc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FFFFFF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01F80"/>
    <w:pPr>
      <w:spacing w:before="20" w:line="252" w:lineRule="auto"/>
    </w:pPr>
    <w:tblPr>
      <w:tblStyleRowBandSize w:val="1"/>
      <w:tblStyleColBandSize w:val="1"/>
    </w:tbl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</w:tblStylePr>
    <w:tblStylePr w:type="band2Vert">
      <w:rPr>
        <w:color w:val="auto"/>
      </w:rPr>
    </w:tblStylePr>
    <w:tblStylePr w:type="band1Horz">
      <w:tblPr/>
      <w:tcPr>
        <w:tcBorders>
          <w:bottom w:val="single" w:sz="6" w:space="0" w:color="FFFFFF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01F80"/>
    <w:pPr>
      <w:spacing w:before="20" w:line="252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la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01F80"/>
    <w:pPr>
      <w:spacing w:before="20" w:line="252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01F80"/>
    <w:pPr>
      <w:spacing w:before="20" w:line="252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Cs/>
        <w:iCs/>
        <w:color w:val="FFFFFF"/>
      </w:rPr>
    </w:tblStylePr>
    <w:tblStylePr w:type="lastRow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Cs/>
        <w:color w:val="000000"/>
      </w:rPr>
    </w:tblStylePr>
  </w:style>
  <w:style w:type="table" w:styleId="TableClassic4">
    <w:name w:val="Table Classic 4"/>
    <w:basedOn w:val="TableNormal"/>
    <w:semiHidden/>
    <w:rsid w:val="00001F80"/>
    <w:pPr>
      <w:spacing w:before="20" w:line="252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Cs/>
        <w:iCs/>
        <w:color w:val="FFFFFF"/>
      </w:rPr>
    </w:tblStylePr>
    <w:tblStylePr w:type="lastRow">
      <w:rPr>
        <w:color w:val="000080"/>
      </w:rPr>
    </w:tblStylePr>
  </w:style>
  <w:style w:type="table" w:styleId="TableColorful1">
    <w:name w:val="Table Colorful 1"/>
    <w:basedOn w:val="TableNormal"/>
    <w:semiHidden/>
    <w:rsid w:val="00001F80"/>
    <w:pPr>
      <w:spacing w:before="20" w:line="252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iCs/>
      </w:rPr>
    </w:tblStylePr>
    <w:tblStylePr w:type="firstCol">
      <w:rPr>
        <w:iCs/>
      </w:rPr>
    </w:tblStylePr>
  </w:style>
  <w:style w:type="table" w:styleId="TableColorful2">
    <w:name w:val="Table Colorful 2"/>
    <w:basedOn w:val="TableNormal"/>
    <w:semiHidden/>
    <w:rsid w:val="00001F80"/>
    <w:pPr>
      <w:spacing w:before="20" w:line="252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Cs/>
        <w:iCs/>
        <w:color w:val="FFFFFF"/>
      </w:rPr>
    </w:tblStylePr>
    <w:tblStylePr w:type="firstCol">
      <w:rPr>
        <w:iCs/>
      </w:rPr>
    </w:tblStylePr>
  </w:style>
  <w:style w:type="table" w:styleId="TableColorful3">
    <w:name w:val="Table Colorful 3"/>
    <w:basedOn w:val="TableNormal"/>
    <w:semiHidden/>
    <w:rsid w:val="00001F80"/>
    <w:pPr>
      <w:spacing w:before="20" w:line="252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</w:style>
  <w:style w:type="table" w:styleId="TableColumns1">
    <w:name w:val="Table Columns 1"/>
    <w:basedOn w:val="TableNormal"/>
    <w:semiHidden/>
    <w:rsid w:val="00001F80"/>
    <w:pPr>
      <w:spacing w:before="20" w:line="252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band1Vert">
      <w:rPr>
        <w:color w:val="auto"/>
      </w:rPr>
    </w:tblStylePr>
    <w:tblStylePr w:type="band2Vert">
      <w:rPr>
        <w:color w:val="auto"/>
      </w:rPr>
    </w:tblStylePr>
  </w:style>
  <w:style w:type="table" w:styleId="TableColumns2">
    <w:name w:val="Table Columns 2"/>
    <w:basedOn w:val="TableNormal"/>
    <w:semiHidden/>
    <w:rsid w:val="00001F80"/>
    <w:pPr>
      <w:spacing w:before="20" w:line="252" w:lineRule="auto"/>
    </w:pPr>
    <w:rPr>
      <w:b/>
      <w:bCs/>
    </w:rPr>
    <w:tblPr>
      <w:tblStyleColBandSize w:val="1"/>
    </w:tblPr>
    <w:tblStylePr w:type="firstRow">
      <w:rPr>
        <w:color w:val="FFFFFF"/>
      </w:rPr>
    </w:tblStylePr>
    <w:tblStylePr w:type="firstCol">
      <w:rPr>
        <w:bCs w:val="0"/>
        <w:color w:val="000000"/>
      </w:rPr>
    </w:tblStylePr>
    <w:tblStylePr w:type="band1Vert">
      <w:rPr>
        <w:color w:val="auto"/>
      </w:rPr>
    </w:tblStylePr>
    <w:tblStylePr w:type="band2Vert">
      <w:rPr>
        <w:color w:val="auto"/>
      </w:rPr>
    </w:tblStylePr>
  </w:style>
  <w:style w:type="table" w:styleId="TableColumns3">
    <w:name w:val="Table Columns 3"/>
    <w:basedOn w:val="TableNormal"/>
    <w:semiHidden/>
    <w:rsid w:val="00001F80"/>
    <w:pPr>
      <w:spacing w:before="20" w:line="252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</w:tblStylePr>
    <w:tblStylePr w:type="band2Vert">
      <w:rPr>
        <w:color w:val="auto"/>
      </w:rPr>
    </w:tblStylePr>
  </w:style>
  <w:style w:type="table" w:styleId="TableColumns4">
    <w:name w:val="Table Columns 4"/>
    <w:basedOn w:val="TableNormal"/>
    <w:semiHidden/>
    <w:rsid w:val="00001F80"/>
    <w:pPr>
      <w:spacing w:before="20" w:line="252" w:lineRule="auto"/>
    </w:pPr>
    <w:tblPr>
      <w:tblStyleColBandSize w:val="1"/>
    </w:tblPr>
    <w:tblStylePr w:type="firstRow">
      <w:rPr>
        <w:color w:val="FFFFFF"/>
      </w:rPr>
    </w:tblStylePr>
    <w:tblStylePr w:type="band1Vert">
      <w:rPr>
        <w:color w:val="auto"/>
      </w:rPr>
    </w:tblStylePr>
    <w:tblStylePr w:type="band2Vert">
      <w:rPr>
        <w:color w:val="auto"/>
      </w:rPr>
    </w:tblStylePr>
  </w:style>
  <w:style w:type="table" w:styleId="TableColumns5">
    <w:name w:val="Table Columns 5"/>
    <w:basedOn w:val="TableNormal"/>
    <w:semiHidden/>
    <w:rsid w:val="00001F80"/>
    <w:pPr>
      <w:spacing w:before="20" w:line="252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iCs/>
      </w:r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01F80"/>
    <w:pPr>
      <w:spacing w:before="20" w:line="252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Cs/>
        <w:color w:val="auto"/>
      </w:r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leElegant">
    <w:name w:val="Table Elegant"/>
    <w:basedOn w:val="TableNormal"/>
    <w:semiHidden/>
    <w:rsid w:val="00001F80"/>
    <w:pPr>
      <w:spacing w:before="20" w:line="252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</w:tblStylePr>
  </w:style>
  <w:style w:type="table" w:styleId="TableGrid1">
    <w:name w:val="Table Grid 1"/>
    <w:basedOn w:val="TableNormal"/>
    <w:semiHidden/>
    <w:rsid w:val="00001F80"/>
    <w:pPr>
      <w:spacing w:before="20" w:line="25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</w:style>
  <w:style w:type="table" w:styleId="TableGrid2">
    <w:name w:val="Table Grid 2"/>
    <w:basedOn w:val="TableNormal"/>
    <w:semiHidden/>
    <w:rsid w:val="00001F80"/>
    <w:pPr>
      <w:spacing w:before="20" w:line="252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01F80"/>
    <w:pPr>
      <w:spacing w:before="20" w:line="252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</w:style>
  <w:style w:type="table" w:styleId="TableGrid4">
    <w:name w:val="Table Grid 4"/>
    <w:basedOn w:val="TableNormal"/>
    <w:semiHidden/>
    <w:rsid w:val="00001F80"/>
    <w:pPr>
      <w:spacing w:before="20" w:line="252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</w:tblStylePr>
    <w:tblStylePr w:type="lastRow">
      <w:rPr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Cs/>
        <w:color w:val="auto"/>
      </w:rPr>
    </w:tblStylePr>
  </w:style>
  <w:style w:type="table" w:styleId="TableGrid5">
    <w:name w:val="Table Grid 5"/>
    <w:basedOn w:val="TableNormal"/>
    <w:semiHidden/>
    <w:rsid w:val="00001F80"/>
    <w:pPr>
      <w:spacing w:before="20" w:line="25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</w:style>
  <w:style w:type="table" w:styleId="TableGrid6">
    <w:name w:val="Table Grid 6"/>
    <w:basedOn w:val="TableNormal"/>
    <w:semiHidden/>
    <w:rsid w:val="00001F80"/>
    <w:pPr>
      <w:spacing w:before="20" w:line="25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01F80"/>
    <w:pPr>
      <w:spacing w:before="20" w:line="252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01F80"/>
    <w:pPr>
      <w:spacing w:before="20" w:line="252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Cs/>
        <w:color w:val="FFFFFF"/>
      </w:rPr>
    </w:tblStylePr>
    <w:tblStylePr w:type="lastRow">
      <w:rPr>
        <w:bCs/>
        <w:color w:val="auto"/>
      </w:rPr>
    </w:tblStylePr>
    <w:tblStylePr w:type="lastCol">
      <w:rPr>
        <w:bCs/>
        <w:color w:val="auto"/>
      </w:rPr>
    </w:tblStylePr>
  </w:style>
  <w:style w:type="table" w:styleId="TableList1">
    <w:name w:val="Table List 1"/>
    <w:basedOn w:val="TableNormal"/>
    <w:semiHidden/>
    <w:rsid w:val="00001F80"/>
    <w:pPr>
      <w:spacing w:before="20" w:line="252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Cs/>
        <w:iCs/>
        <w:color w:val="800000"/>
      </w:r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leList2">
    <w:name w:val="Table List 2"/>
    <w:basedOn w:val="TableNormal"/>
    <w:semiHidden/>
    <w:rsid w:val="00001F80"/>
    <w:pPr>
      <w:spacing w:before="20" w:line="252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Cs/>
        <w:color w:val="FFFFFF"/>
      </w:r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leList3">
    <w:name w:val="Table List 3"/>
    <w:basedOn w:val="TableNormal"/>
    <w:semiHidden/>
    <w:rsid w:val="00001F80"/>
    <w:pPr>
      <w:spacing w:before="20" w:line="252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Cs/>
        <w:color w:val="000080"/>
      </w:r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01F80"/>
    <w:pPr>
      <w:spacing w:before="20" w:line="25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Cs/>
        <w:color w:val="FFFFFF"/>
      </w:rPr>
    </w:tblStylePr>
  </w:style>
  <w:style w:type="table" w:styleId="TableList5">
    <w:name w:val="Table List 5"/>
    <w:basedOn w:val="TableNormal"/>
    <w:semiHidden/>
    <w:rsid w:val="00001F80"/>
    <w:pPr>
      <w:spacing w:before="20" w:line="25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</w:style>
  <w:style w:type="table" w:styleId="TableList6">
    <w:name w:val="Table List 6"/>
    <w:basedOn w:val="TableNormal"/>
    <w:semiHidden/>
    <w:rsid w:val="00001F80"/>
    <w:pPr>
      <w:spacing w:before="20" w:line="252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</w:style>
  <w:style w:type="table" w:styleId="TableList7">
    <w:name w:val="Table List 7"/>
    <w:basedOn w:val="TableNormal"/>
    <w:semiHidden/>
    <w:rsid w:val="00001F80"/>
    <w:pPr>
      <w:spacing w:before="20" w:line="252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styleId="TableList8">
    <w:name w:val="Table List 8"/>
    <w:basedOn w:val="TableNormal"/>
    <w:semiHidden/>
    <w:rsid w:val="00001F80"/>
    <w:pPr>
      <w:spacing w:before="20" w:line="252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iCs/>
      </w:r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styleId="TableProfessional">
    <w:name w:val="Table Professional"/>
    <w:basedOn w:val="TableNormal"/>
    <w:semiHidden/>
    <w:rsid w:val="00001F80"/>
    <w:pPr>
      <w:spacing w:before="20" w:line="25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Cs/>
        <w:color w:val="auto"/>
      </w:rPr>
    </w:tblStylePr>
  </w:style>
  <w:style w:type="table" w:styleId="TableSimple1">
    <w:name w:val="Table Simple 1"/>
    <w:basedOn w:val="TableNormal"/>
    <w:semiHidden/>
    <w:rsid w:val="00001F80"/>
    <w:pPr>
      <w:spacing w:before="20" w:line="252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01F80"/>
    <w:pPr>
      <w:spacing w:before="20" w:line="252" w:lineRule="auto"/>
    </w:pPr>
    <w:tblPr/>
    <w:tblStylePr w:type="lastRow">
      <w:rPr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01F80"/>
    <w:pPr>
      <w:spacing w:before="20" w:line="25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Cs/>
        <w:color w:val="FFFFFF"/>
      </w:rPr>
    </w:tblStylePr>
  </w:style>
  <w:style w:type="table" w:styleId="TableSubtle1">
    <w:name w:val="Table Subtle 1"/>
    <w:basedOn w:val="TableNormal"/>
    <w:semiHidden/>
    <w:rsid w:val="00001F80"/>
    <w:pPr>
      <w:spacing w:before="20" w:line="252" w:lineRule="auto"/>
    </w:pPr>
    <w:tblPr>
      <w:tblStyleRowBandSize w:val="1"/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  <w:shd w:val="pct25" w:color="800080" w:fill="FFFFFF"/>
      </w:tcPr>
    </w:tblStylePr>
  </w:style>
  <w:style w:type="table" w:styleId="TableSubtle2">
    <w:name w:val="Table Subtle 2"/>
    <w:basedOn w:val="TableNormal"/>
    <w:semiHidden/>
    <w:rsid w:val="00001F80"/>
    <w:pPr>
      <w:spacing w:before="20" w:line="252" w:lineRule="auto"/>
    </w:pPr>
    <w:tblPr>
      <w:tblBorders>
        <w:left w:val="single" w:sz="6" w:space="0" w:color="000000"/>
        <w:right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01F80"/>
    <w:pPr>
      <w:spacing w:before="20" w:line="25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01F80"/>
    <w:pPr>
      <w:spacing w:before="20" w:line="252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semiHidden/>
    <w:rsid w:val="00001F80"/>
    <w:pPr>
      <w:spacing w:before="20" w:line="252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semiHidden/>
    <w:rsid w:val="00001F80"/>
    <w:pPr>
      <w:spacing w:before="20" w:line="252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character" w:customStyle="1" w:styleId="CharChar">
    <w:name w:val="Char Char"/>
    <w:semiHidden/>
    <w:rsid w:val="0005778B"/>
    <w:rPr>
      <w:rFonts w:ascii="Avenir 45 Book" w:hAnsi="Avenir 45 Book"/>
      <w:noProof w:val="0"/>
      <w:sz w:val="18"/>
      <w:lang w:val="en-US" w:eastAsia="en-US" w:bidi="ar-SA"/>
    </w:rPr>
  </w:style>
  <w:style w:type="paragraph" w:customStyle="1" w:styleId="NormalSanSerif">
    <w:name w:val="NormalSanSerif"/>
    <w:basedOn w:val="Normal"/>
    <w:semiHidden/>
    <w:rsid w:val="0014482D"/>
    <w:rPr>
      <w:rFonts w:ascii="Arial" w:hAnsi="Arial"/>
    </w:rPr>
  </w:style>
  <w:style w:type="paragraph" w:customStyle="1" w:styleId="EOCBullet1">
    <w:name w:val="EOCBullet1"/>
    <w:basedOn w:val="Normal"/>
    <w:rsid w:val="0014482D"/>
    <w:pPr>
      <w:numPr>
        <w:numId w:val="1"/>
      </w:numPr>
      <w:spacing w:before="80"/>
    </w:pPr>
  </w:style>
  <w:style w:type="paragraph" w:customStyle="1" w:styleId="EOCBullet2">
    <w:name w:val="EOCBullet2"/>
    <w:basedOn w:val="Normal"/>
    <w:rsid w:val="0014482D"/>
    <w:pPr>
      <w:tabs>
        <w:tab w:val="num" w:pos="514"/>
      </w:tabs>
      <w:spacing w:before="60"/>
      <w:ind w:left="514" w:hanging="248"/>
    </w:pPr>
  </w:style>
  <w:style w:type="paragraph" w:customStyle="1" w:styleId="Heading4afterH3">
    <w:name w:val="Heading 4afterH3"/>
    <w:basedOn w:val="Heading4"/>
    <w:rsid w:val="0014482D"/>
  </w:style>
  <w:style w:type="paragraph" w:customStyle="1" w:styleId="Heading2NoTOC">
    <w:name w:val="Heading2NoTOC"/>
    <w:basedOn w:val="Heading2"/>
    <w:next w:val="Normal"/>
    <w:rsid w:val="0014482D"/>
    <w:pPr>
      <w:outlineLvl w:val="9"/>
    </w:pPr>
  </w:style>
  <w:style w:type="character" w:customStyle="1" w:styleId="auroraChar">
    <w:name w:val="aurora Char"/>
    <w:rsid w:val="00D17F5D"/>
    <w:rPr>
      <w:rFonts w:ascii="Arial" w:hAnsi="Arial" w:cs="Times New Roman"/>
      <w:color w:val="FF0000"/>
      <w:sz w:val="20"/>
      <w:szCs w:val="20"/>
    </w:rPr>
  </w:style>
  <w:style w:type="paragraph" w:customStyle="1" w:styleId="Heading5afterH4">
    <w:name w:val="Heading 5afterH4"/>
    <w:basedOn w:val="Normal"/>
    <w:next w:val="Normal"/>
    <w:rsid w:val="0043623C"/>
    <w:pPr>
      <w:keepNext/>
      <w:keepLines/>
      <w:spacing w:before="120" w:after="20"/>
    </w:pPr>
    <w:rPr>
      <w:rFonts w:ascii="Arial" w:hAnsi="Arial" w:cs="Arial"/>
    </w:rPr>
  </w:style>
  <w:style w:type="paragraph" w:customStyle="1" w:styleId="Heading6afterH5">
    <w:name w:val="Heading6afterH5"/>
    <w:basedOn w:val="Normal"/>
    <w:rsid w:val="0043623C"/>
    <w:pPr>
      <w:keepNext/>
      <w:keepLines/>
      <w:spacing w:before="120" w:after="20"/>
    </w:pPr>
    <w:rPr>
      <w:b/>
    </w:rPr>
  </w:style>
  <w:style w:type="paragraph" w:customStyle="1" w:styleId="Heading7afterH5">
    <w:name w:val="Heading7afterH5"/>
    <w:basedOn w:val="Normal"/>
    <w:next w:val="Normal"/>
    <w:rsid w:val="0043623C"/>
    <w:pPr>
      <w:keepNext/>
      <w:keepLines/>
      <w:spacing w:before="120" w:after="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F%20Chart%20-%2010%20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 Chart - 10 pt.dot</Template>
  <TotalTime>0</TotalTime>
  <Pages>2</Pages>
  <Words>630</Words>
  <Characters>3644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DDADADA</vt:lpstr>
      </vt:variant>
      <vt:variant>
        <vt:i4>0</vt:i4>
      </vt:variant>
    </vt:vector>
  </HeadingPairs>
  <TitlesOfParts>
    <vt:vector size="1" baseType="lpstr">
      <vt:lpstr>Disclosure Form Part 1/Proposed Benefit Summary</vt:lpstr>
    </vt:vector>
  </TitlesOfParts>
  <Company>Kaiser Foundation Health Plan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Form Part 1/Proposed Benefit Summary</dc:title>
  <dc:subject/>
  <dc:creator>Kaiser Foundation Health Plan</dc:creator>
  <cp:keywords/>
  <dc:description/>
  <cp:lastModifiedBy>Ruth Zalsman</cp:lastModifiedBy>
  <cp:revision>2</cp:revision>
  <dcterms:created xsi:type="dcterms:W3CDTF">2020-01-08T22:31:00Z</dcterms:created>
  <dcterms:modified xsi:type="dcterms:W3CDTF">2020-01-08T22:31:00Z</dcterms:modified>
  <dc:language>English</dc:language>
</cp:coreProperties>
</file>